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4ACD1" w14:textId="66514878" w:rsidR="003435D4" w:rsidRPr="001A1292" w:rsidRDefault="00DC0A0A" w:rsidP="003435D4">
      <w:pPr>
        <w:pStyle w:val="OZNPROJEKTUwskazaniedatylubwersjiprojektu"/>
        <w:rPr>
          <w:rFonts w:ascii="Times" w:hAnsi="Times" w:cs="Times"/>
        </w:rPr>
      </w:pPr>
      <w:r w:rsidRPr="001A1292">
        <w:rPr>
          <w:rFonts w:ascii="Times" w:hAnsi="Times" w:cs="Times"/>
        </w:rPr>
        <w:t xml:space="preserve">Projekt z dnia </w:t>
      </w:r>
      <w:r w:rsidR="00652F2E" w:rsidRPr="001A1292">
        <w:rPr>
          <w:rFonts w:ascii="Times" w:hAnsi="Times" w:cs="Times"/>
        </w:rPr>
        <w:t>1</w:t>
      </w:r>
      <w:r w:rsidR="009D32A1">
        <w:rPr>
          <w:rFonts w:ascii="Times" w:hAnsi="Times" w:cs="Times"/>
        </w:rPr>
        <w:t>6</w:t>
      </w:r>
      <w:r w:rsidR="00652F2E" w:rsidRPr="001A1292">
        <w:rPr>
          <w:rFonts w:ascii="Times" w:hAnsi="Times" w:cs="Times"/>
        </w:rPr>
        <w:t xml:space="preserve"> </w:t>
      </w:r>
      <w:r w:rsidR="005B29F5" w:rsidRPr="001A1292">
        <w:rPr>
          <w:rFonts w:ascii="Times" w:hAnsi="Times" w:cs="Times"/>
        </w:rPr>
        <w:t>czerwca</w:t>
      </w:r>
      <w:r w:rsidR="00034138" w:rsidRPr="001A1292">
        <w:rPr>
          <w:rFonts w:ascii="Times" w:hAnsi="Times" w:cs="Times"/>
        </w:rPr>
        <w:t xml:space="preserve"> 2023</w:t>
      </w:r>
      <w:r w:rsidR="003435D4" w:rsidRPr="001A1292">
        <w:rPr>
          <w:rFonts w:ascii="Times" w:hAnsi="Times" w:cs="Times"/>
        </w:rPr>
        <w:t xml:space="preserve"> r.</w:t>
      </w:r>
    </w:p>
    <w:p w14:paraId="12D69423" w14:textId="77777777" w:rsidR="003435D4" w:rsidRPr="001A1292" w:rsidRDefault="003435D4" w:rsidP="003435D4">
      <w:pPr>
        <w:rPr>
          <w:rFonts w:ascii="Times" w:hAnsi="Times" w:cs="Times"/>
        </w:rPr>
      </w:pPr>
    </w:p>
    <w:p w14:paraId="4CFDBDC2" w14:textId="77777777" w:rsidR="003435D4" w:rsidRPr="001A1292" w:rsidRDefault="003435D4" w:rsidP="003435D4">
      <w:pPr>
        <w:pStyle w:val="OZNRODZAKTUtznustawalubrozporzdzenieiorganwydajcy"/>
        <w:rPr>
          <w:rFonts w:cs="Times"/>
        </w:rPr>
      </w:pPr>
      <w:r w:rsidRPr="001A1292">
        <w:rPr>
          <w:rFonts w:cs="Times"/>
        </w:rPr>
        <w:t>ROZPORZĄDZENIE</w:t>
      </w:r>
    </w:p>
    <w:p w14:paraId="3D659A69" w14:textId="4114181C" w:rsidR="003435D4" w:rsidRPr="001A1292" w:rsidRDefault="003435D4" w:rsidP="003435D4">
      <w:pPr>
        <w:pStyle w:val="OZNRODZAKTUtznustawalubrozporzdzenieiorganwydajcy"/>
        <w:rPr>
          <w:rFonts w:cs="Times"/>
        </w:rPr>
      </w:pPr>
      <w:r w:rsidRPr="001A1292">
        <w:rPr>
          <w:rFonts w:cs="Times"/>
        </w:rPr>
        <w:t>MINISTRA CYFRYZACJI</w:t>
      </w:r>
      <w:r w:rsidRPr="001A1292">
        <w:rPr>
          <w:rStyle w:val="Odwoanieprzypisudolnego"/>
          <w:rFonts w:cs="Times"/>
        </w:rPr>
        <w:footnoteReference w:id="1"/>
      </w:r>
      <w:r w:rsidRPr="001A1292">
        <w:rPr>
          <w:rStyle w:val="IGindeksgrny"/>
          <w:rFonts w:cs="Times"/>
        </w:rPr>
        <w:t>)</w:t>
      </w:r>
    </w:p>
    <w:p w14:paraId="7DE18D4D" w14:textId="77777777" w:rsidR="003435D4" w:rsidRPr="001A1292" w:rsidRDefault="003435D4" w:rsidP="003435D4">
      <w:pPr>
        <w:pStyle w:val="DATAAKTUdatauchwalenialubwydaniaaktu"/>
        <w:rPr>
          <w:rFonts w:cs="Times"/>
        </w:rPr>
      </w:pPr>
      <w:r w:rsidRPr="001A1292">
        <w:rPr>
          <w:rFonts w:cs="Times"/>
        </w:rPr>
        <w:t>z dnia …… ………… 2023 r.</w:t>
      </w:r>
    </w:p>
    <w:p w14:paraId="50F6B709" w14:textId="3AEDC24A" w:rsidR="003435D4" w:rsidRPr="001A1292" w:rsidRDefault="003435D4" w:rsidP="003435D4">
      <w:pPr>
        <w:pStyle w:val="TYTUAKTUprzedmiotregulacjiustawylubrozporzdzenia"/>
        <w:rPr>
          <w:rFonts w:cs="Times"/>
        </w:rPr>
      </w:pPr>
      <w:r w:rsidRPr="008E4734">
        <w:rPr>
          <w:rFonts w:cs="Times"/>
        </w:rPr>
        <w:t>zmieniające rozporządzenie w sprawie urządzeń radiowych nadawczych lub nadawczo-odbiorczych, które mogą być używane bez pozwolenia radiowego</w:t>
      </w:r>
      <w:r w:rsidR="0063207C" w:rsidRPr="001A1292">
        <w:rPr>
          <w:rStyle w:val="Odwoanieprzypisudolnego"/>
          <w:rFonts w:cs="Times"/>
        </w:rPr>
        <w:footnoteReference w:id="2"/>
      </w:r>
      <w:r w:rsidR="0063207C" w:rsidRPr="001A1292">
        <w:rPr>
          <w:rStyle w:val="IGindeksgrny"/>
          <w:rFonts w:cs="Times"/>
        </w:rPr>
        <w:t>)</w:t>
      </w:r>
    </w:p>
    <w:p w14:paraId="23D8BC0C" w14:textId="77777777" w:rsidR="003435D4" w:rsidRPr="008E4734" w:rsidRDefault="003435D4" w:rsidP="003435D4">
      <w:pPr>
        <w:pStyle w:val="NIEARTTEKSTtekstnieartykuowanynppodstprawnarozplubpreambua"/>
        <w:rPr>
          <w:rFonts w:cs="Times"/>
        </w:rPr>
      </w:pPr>
      <w:r w:rsidRPr="008E4734">
        <w:rPr>
          <w:rFonts w:cs="Times"/>
        </w:rPr>
        <w:t>Na podstawie art. 144 ust. 3 ustawy z dnia 16 lipca 2004 r. – Prawo telekomunikacyjne (Dz. U. z 2022 r. poz. 1648, 1933 i 2581) zarządza się, co następuje:</w:t>
      </w:r>
    </w:p>
    <w:p w14:paraId="4CB2E1CA" w14:textId="2D1CCF8A" w:rsidR="003435D4" w:rsidRPr="00305EB8" w:rsidRDefault="003435D4" w:rsidP="003435D4">
      <w:pPr>
        <w:pStyle w:val="ARTartustawynprozporzdzenia"/>
        <w:rPr>
          <w:rFonts w:cs="Times"/>
        </w:rPr>
      </w:pPr>
      <w:r w:rsidRPr="00305EB8">
        <w:rPr>
          <w:rFonts w:cs="Times"/>
        </w:rPr>
        <w:t>§ 1. W rozporządzeniu Ministra Cyfryzacji z dnia 9 lutego 2022 r. w sprawie urządzeń radiowych nadawczych lub nadawczo-odbiorczych, które mogą być używane bez pozwolenia radiowego (Dz. U. poz. 567) wprowadza się następujące zmiany:</w:t>
      </w:r>
    </w:p>
    <w:p w14:paraId="058CDC87" w14:textId="5DD6627B" w:rsidR="003435D4" w:rsidRPr="00305EB8" w:rsidRDefault="003435D4" w:rsidP="003435D4">
      <w:pPr>
        <w:pStyle w:val="PKTpunkt"/>
        <w:rPr>
          <w:rFonts w:cs="Times"/>
        </w:rPr>
      </w:pPr>
      <w:r w:rsidRPr="00305EB8">
        <w:rPr>
          <w:rFonts w:cs="Times"/>
        </w:rPr>
        <w:t>1)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w § 2:</w:t>
      </w:r>
    </w:p>
    <w:p w14:paraId="07F4C7DE" w14:textId="2C901835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14 dodaje się pkt 14a w brzmieniu:</w:t>
      </w:r>
    </w:p>
    <w:p w14:paraId="54A43230" w14:textId="4A2014FE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„14a)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ECTRA (</w:t>
      </w:r>
      <w:proofErr w:type="spellStart"/>
      <w:r w:rsidRPr="00305EB8">
        <w:rPr>
          <w:rFonts w:cs="Times"/>
        </w:rPr>
        <w:t>European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Committee</w:t>
      </w:r>
      <w:proofErr w:type="spellEnd"/>
      <w:r w:rsidRPr="00305EB8">
        <w:rPr>
          <w:rFonts w:cs="Times"/>
        </w:rPr>
        <w:t xml:space="preserve"> for </w:t>
      </w:r>
      <w:proofErr w:type="spellStart"/>
      <w:r w:rsidRPr="00305EB8">
        <w:rPr>
          <w:rFonts w:cs="Times"/>
        </w:rPr>
        <w:t>Telecommunications</w:t>
      </w:r>
      <w:proofErr w:type="spellEnd"/>
      <w:r w:rsidRPr="00305EB8">
        <w:rPr>
          <w:rFonts w:cs="Times"/>
        </w:rPr>
        <w:t xml:space="preserve"> Regulatory </w:t>
      </w:r>
      <w:proofErr w:type="spellStart"/>
      <w:r w:rsidRPr="00305EB8">
        <w:rPr>
          <w:rFonts w:cs="Times"/>
        </w:rPr>
        <w:t>Affairs</w:t>
      </w:r>
      <w:proofErr w:type="spellEnd"/>
      <w:r w:rsidRPr="00305EB8">
        <w:rPr>
          <w:rFonts w:cs="Times"/>
        </w:rPr>
        <w:t>) – Europejski Komitet do Spraw Regulacji Telekomunikacyjnych;”,</w:t>
      </w:r>
    </w:p>
    <w:p w14:paraId="3A265186" w14:textId="58628A2A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b)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23 dodaje się pkt 23a w brzmieniu:</w:t>
      </w:r>
    </w:p>
    <w:p w14:paraId="6B1265B5" w14:textId="6541AA8D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„23a)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FES (</w:t>
      </w:r>
      <w:proofErr w:type="spellStart"/>
      <w:r w:rsidRPr="00305EB8">
        <w:rPr>
          <w:rFonts w:cs="Times"/>
        </w:rPr>
        <w:t>Fixed</w:t>
      </w:r>
      <w:proofErr w:type="spellEnd"/>
      <w:r w:rsidRPr="00305EB8">
        <w:rPr>
          <w:rFonts w:cs="Times"/>
        </w:rPr>
        <w:t xml:space="preserve"> Earth Station) – stałą ziemską stację pracującą w służbie radiokomunikacyjnej stałej satelitarnej;”,</w:t>
      </w:r>
    </w:p>
    <w:p w14:paraId="3BD4BD67" w14:textId="56C1D20E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c)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28 dodaje się pkt 28a w brzmieniu:</w:t>
      </w:r>
    </w:p>
    <w:p w14:paraId="6B72DA94" w14:textId="0E31E5B6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„28a)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 xml:space="preserve">HD-GBSAR (High Definition </w:t>
      </w:r>
      <w:proofErr w:type="spellStart"/>
      <w:r w:rsidRPr="00305EB8">
        <w:rPr>
          <w:rFonts w:cs="Times"/>
        </w:rPr>
        <w:t>Ground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Based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Synthetic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Aperture</w:t>
      </w:r>
      <w:proofErr w:type="spellEnd"/>
      <w:r w:rsidRPr="00305EB8">
        <w:rPr>
          <w:rFonts w:cs="Times"/>
        </w:rPr>
        <w:t xml:space="preserve"> Radar) – naziemny radar wysokiej rozdzielczości z syntetyczną aperturą;”,</w:t>
      </w:r>
    </w:p>
    <w:p w14:paraId="30384884" w14:textId="3C02903B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d)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34 dodaje się pkt 34a w brzmieniu:</w:t>
      </w:r>
    </w:p>
    <w:p w14:paraId="7A42C764" w14:textId="77777777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 xml:space="preserve">„34a) ITU (International </w:t>
      </w:r>
      <w:proofErr w:type="spellStart"/>
      <w:r w:rsidRPr="00305EB8">
        <w:rPr>
          <w:rFonts w:cs="Times"/>
        </w:rPr>
        <w:t>Telecommunication</w:t>
      </w:r>
      <w:proofErr w:type="spellEnd"/>
      <w:r w:rsidRPr="00305EB8">
        <w:rPr>
          <w:rFonts w:cs="Times"/>
        </w:rPr>
        <w:t xml:space="preserve"> Union) – Międzynarodowy Związek Telekomunikacyjny;”,</w:t>
      </w:r>
    </w:p>
    <w:p w14:paraId="6EE8468E" w14:textId="1ED7011E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e)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38 dodaje się pkt 38a w brzmieniu:</w:t>
      </w:r>
    </w:p>
    <w:p w14:paraId="5FE79FE8" w14:textId="33A8B5A1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lastRenderedPageBreak/>
        <w:t>„38a)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MES (Mobile Earth Station) – ruchomą ziemską stację pracującą w służbie radiokomunikacyjnej ruchomej satelitarnej;”,</w:t>
      </w:r>
    </w:p>
    <w:p w14:paraId="53EE7DE4" w14:textId="19FDF6BF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f)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uchyla się pkt 41,</w:t>
      </w:r>
    </w:p>
    <w:p w14:paraId="7F608245" w14:textId="0D8612C5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g)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46 dodaje się pkt 46a w brzmieniu:</w:t>
      </w:r>
    </w:p>
    <w:p w14:paraId="3472873B" w14:textId="3D856919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„46a)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 xml:space="preserve">RAS (Radio </w:t>
      </w:r>
      <w:proofErr w:type="spellStart"/>
      <w:r w:rsidRPr="00305EB8">
        <w:rPr>
          <w:rFonts w:cs="Times"/>
        </w:rPr>
        <w:t>Astronomy</w:t>
      </w:r>
      <w:proofErr w:type="spellEnd"/>
      <w:r w:rsidRPr="00305EB8">
        <w:rPr>
          <w:rFonts w:cs="Times"/>
        </w:rPr>
        <w:t xml:space="preserve"> Service) – służbę radioastronomiczną;”,</w:t>
      </w:r>
    </w:p>
    <w:p w14:paraId="28BAA725" w14:textId="45974C99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h)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po pkt 48 dodaje się pkt 48a w brzmieniu:</w:t>
      </w:r>
    </w:p>
    <w:p w14:paraId="1BAAFF93" w14:textId="531F65CD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„48a)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S-PCS (</w:t>
      </w:r>
      <w:proofErr w:type="spellStart"/>
      <w:r w:rsidRPr="00305EB8">
        <w:rPr>
          <w:rFonts w:cs="Times"/>
        </w:rPr>
        <w:t>Satellite</w:t>
      </w:r>
      <w:proofErr w:type="spellEnd"/>
      <w:r w:rsidRPr="00305EB8">
        <w:rPr>
          <w:rFonts w:cs="Times"/>
        </w:rPr>
        <w:t xml:space="preserve"> Personal </w:t>
      </w:r>
      <w:proofErr w:type="spellStart"/>
      <w:r w:rsidRPr="00305EB8">
        <w:rPr>
          <w:rFonts w:cs="Times"/>
        </w:rPr>
        <w:t>Communication</w:t>
      </w:r>
      <w:proofErr w:type="spellEnd"/>
      <w:r w:rsidRPr="00305EB8">
        <w:rPr>
          <w:rFonts w:cs="Times"/>
        </w:rPr>
        <w:t xml:space="preserve"> Systems) – osobiste systemy komunikacji satelitarnej;”;</w:t>
      </w:r>
    </w:p>
    <w:p w14:paraId="0A1B68AC" w14:textId="08C9E6E5" w:rsidR="003435D4" w:rsidRPr="00305EB8" w:rsidRDefault="003435D4" w:rsidP="003435D4">
      <w:pPr>
        <w:pStyle w:val="PKTpunkt"/>
        <w:rPr>
          <w:rFonts w:cs="Times"/>
        </w:rPr>
      </w:pPr>
      <w:r w:rsidRPr="00305EB8">
        <w:rPr>
          <w:rFonts w:cs="Times"/>
        </w:rPr>
        <w:t>2)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w § 3:</w:t>
      </w:r>
    </w:p>
    <w:p w14:paraId="588B3FC9" w14:textId="05433A81" w:rsidR="003435D4" w:rsidRPr="00305EB8" w:rsidRDefault="003435D4" w:rsidP="003435D4">
      <w:pPr>
        <w:pStyle w:val="LITlitera"/>
        <w:rPr>
          <w:rFonts w:cs="Times"/>
        </w:rPr>
      </w:pPr>
      <w:r w:rsidRPr="00305EB8">
        <w:rPr>
          <w:rFonts w:cs="Times"/>
        </w:rPr>
        <w:t>a)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w ust. 1:</w:t>
      </w:r>
    </w:p>
    <w:p w14:paraId="711AEFC9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- pkt 4 otrzymuje brzmienie:</w:t>
      </w:r>
    </w:p>
    <w:p w14:paraId="316DF632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„4)</w:t>
      </w:r>
      <w:r w:rsidRPr="00305EB8">
        <w:rPr>
          <w:rFonts w:cs="Times"/>
        </w:rPr>
        <w:tab/>
        <w:t xml:space="preserve">stacji bazowych małej mocy pracujących w zakresach częstotliwości: </w:t>
      </w:r>
    </w:p>
    <w:p w14:paraId="628A9F86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a)</w:t>
      </w:r>
      <w:r w:rsidRPr="00305EB8">
        <w:rPr>
          <w:rFonts w:cs="Times"/>
        </w:rPr>
        <w:tab/>
        <w:t xml:space="preserve">703-733 MHz (odbiór) i 758-788 MHz (nadawanie) z mocą nieprzekraczającą 23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>.,</w:t>
      </w:r>
    </w:p>
    <w:p w14:paraId="7B16BCD4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b)</w:t>
      </w:r>
      <w:r w:rsidRPr="00305EB8">
        <w:rPr>
          <w:rFonts w:cs="Times"/>
        </w:rPr>
        <w:tab/>
        <w:t xml:space="preserve">791-821 MHz (nadawanie) i 832-862 MHz (odbiór) z mocą nieprzekraczającą 21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 xml:space="preserve">., </w:t>
      </w:r>
    </w:p>
    <w:p w14:paraId="32571976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c)</w:t>
      </w:r>
      <w:r w:rsidRPr="00305EB8">
        <w:rPr>
          <w:rFonts w:cs="Times"/>
        </w:rPr>
        <w:tab/>
        <w:t xml:space="preserve">876-915 MHz (odbiór) i 921-960 MHz (nadawanie) z mocą nieprzekraczającą 20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 xml:space="preserve">., </w:t>
      </w:r>
    </w:p>
    <w:p w14:paraId="527894DD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d)</w:t>
      </w:r>
      <w:r w:rsidRPr="00305EB8">
        <w:rPr>
          <w:rFonts w:cs="Times"/>
        </w:rPr>
        <w:tab/>
        <w:t xml:space="preserve">1710-1785 MHz (odbiór) i 1805-1880 MHz (nadawanie) z mocą nieprzekraczającą 20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 xml:space="preserve">., </w:t>
      </w:r>
    </w:p>
    <w:p w14:paraId="76F3C9AF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e)</w:t>
      </w:r>
      <w:r w:rsidRPr="00305EB8">
        <w:rPr>
          <w:rFonts w:cs="Times"/>
        </w:rPr>
        <w:tab/>
        <w:t xml:space="preserve">1920-1980 MHz (odbiór) i 2110-2170 MHz (nadawanie) z mocą nieprzekraczającą 21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 xml:space="preserve">., </w:t>
      </w:r>
    </w:p>
    <w:p w14:paraId="018D31E5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f)</w:t>
      </w:r>
      <w:r w:rsidRPr="00305EB8">
        <w:rPr>
          <w:rFonts w:cs="Times"/>
        </w:rPr>
        <w:tab/>
        <w:t xml:space="preserve">2500-2570 MHz (odbiór) i 2620-2690 MHz (nadawanie) z mocą nieprzekraczającą 21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 xml:space="preserve">., </w:t>
      </w:r>
    </w:p>
    <w:p w14:paraId="20BFC049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g)</w:t>
      </w:r>
      <w:r w:rsidRPr="00305EB8">
        <w:rPr>
          <w:rFonts w:cs="Times"/>
        </w:rPr>
        <w:tab/>
        <w:t xml:space="preserve">2570-2620 MHz (nadawanie i odbiór) z mocą nieprzekraczającą 21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>.,</w:t>
      </w:r>
    </w:p>
    <w:p w14:paraId="77407CCB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h)</w:t>
      </w:r>
      <w:r w:rsidRPr="00305EB8">
        <w:rPr>
          <w:rFonts w:cs="Times"/>
        </w:rPr>
        <w:tab/>
        <w:t xml:space="preserve">3400-3800 MHz (nadawanie i odbiór) z mocą nieprzekraczającą 24 </w:t>
      </w:r>
      <w:proofErr w:type="spellStart"/>
      <w:r w:rsidRPr="00305EB8">
        <w:rPr>
          <w:rFonts w:cs="Times"/>
        </w:rPr>
        <w:t>dBm</w:t>
      </w:r>
      <w:proofErr w:type="spellEnd"/>
      <w:r w:rsidRPr="00305EB8">
        <w:rPr>
          <w:rFonts w:cs="Times"/>
        </w:rPr>
        <w:t xml:space="preserve"> </w:t>
      </w:r>
      <w:proofErr w:type="spellStart"/>
      <w:r w:rsidRPr="00305EB8">
        <w:rPr>
          <w:rFonts w:cs="Times"/>
        </w:rPr>
        <w:t>e.r.p</w:t>
      </w:r>
      <w:proofErr w:type="spellEnd"/>
      <w:r w:rsidRPr="00305EB8">
        <w:rPr>
          <w:rFonts w:cs="Times"/>
        </w:rPr>
        <w:t xml:space="preserve">. dla każdego sygnału o szerokości 20 MHz  </w:t>
      </w:r>
    </w:p>
    <w:p w14:paraId="00008002" w14:textId="77777777" w:rsidR="003435D4" w:rsidRPr="00305EB8" w:rsidRDefault="003435D4" w:rsidP="003435D4">
      <w:pPr>
        <w:pStyle w:val="TIRtiret"/>
        <w:rPr>
          <w:rFonts w:cs="Times"/>
        </w:rPr>
      </w:pPr>
      <w:r w:rsidRPr="00305EB8">
        <w:rPr>
          <w:rFonts w:cs="Times"/>
        </w:rPr>
        <w:t>–</w:t>
      </w:r>
      <w:r w:rsidRPr="00305EB8">
        <w:rPr>
          <w:rFonts w:cs="Times"/>
        </w:rPr>
        <w:tab/>
        <w:t>wykorzystywanych do świadczenia usług przez przedsiębiorcę telekomunikacyjnego posiadającego rezerwację częstotliwości;”,</w:t>
      </w:r>
    </w:p>
    <w:p w14:paraId="14D28E86" w14:textId="77777777" w:rsidR="00720ECB" w:rsidRPr="00305EB8" w:rsidRDefault="00E62ED6" w:rsidP="003435D4">
      <w:pPr>
        <w:pStyle w:val="TIRtiret"/>
        <w:rPr>
          <w:rFonts w:cs="Times"/>
        </w:rPr>
      </w:pPr>
      <w:r w:rsidRPr="00305EB8">
        <w:rPr>
          <w:rFonts w:cs="Times"/>
        </w:rPr>
        <w:t>- w pkt 6</w:t>
      </w:r>
      <w:r w:rsidR="00720ECB" w:rsidRPr="00305EB8">
        <w:rPr>
          <w:rFonts w:cs="Times"/>
        </w:rPr>
        <w:t>:</w:t>
      </w:r>
    </w:p>
    <w:p w14:paraId="7AB21574" w14:textId="5CE5C362" w:rsidR="00E1519A" w:rsidRPr="00305EB8" w:rsidRDefault="00720ECB" w:rsidP="003435D4">
      <w:pPr>
        <w:pStyle w:val="TIRtiret"/>
        <w:rPr>
          <w:rFonts w:cs="Times"/>
        </w:rPr>
      </w:pPr>
      <w:r w:rsidRPr="00305EB8">
        <w:rPr>
          <w:rFonts w:cs="Times"/>
        </w:rPr>
        <w:t>- -</w:t>
      </w:r>
      <w:r w:rsidR="00E62ED6" w:rsidRPr="00305EB8">
        <w:rPr>
          <w:rFonts w:cs="Times"/>
        </w:rPr>
        <w:t xml:space="preserve"> lit. b otrzymuje brzmienie: </w:t>
      </w:r>
    </w:p>
    <w:p w14:paraId="2E3B7929" w14:textId="116A03C7" w:rsidR="00E62ED6" w:rsidRPr="00305EB8" w:rsidRDefault="00E62ED6" w:rsidP="003435D4">
      <w:pPr>
        <w:pStyle w:val="TIRtiret"/>
        <w:rPr>
          <w:rFonts w:cs="Times"/>
        </w:rPr>
      </w:pPr>
      <w:r w:rsidRPr="00305EB8">
        <w:rPr>
          <w:rFonts w:cs="Times"/>
        </w:rPr>
        <w:t>„b)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 xml:space="preserve">szerokopasmowych systemów transmisji danych, obejmujących urządzenia wykorzystujące szerokopasmowe techniki modulacji w celu dostępu do widma, </w:t>
      </w:r>
      <w:r w:rsidRPr="00305EB8">
        <w:rPr>
          <w:rFonts w:cs="Times"/>
        </w:rPr>
        <w:lastRenderedPageBreak/>
        <w:t xml:space="preserve">dla których warunki używania określa załącznik nr </w:t>
      </w:r>
      <w:r w:rsidR="00F77BF3" w:rsidRPr="00305EB8">
        <w:rPr>
          <w:rFonts w:cs="Times"/>
        </w:rPr>
        <w:t>2</w:t>
      </w:r>
      <w:r w:rsidR="00CD2B01" w:rsidRPr="00305EB8">
        <w:rPr>
          <w:rFonts w:cs="Times"/>
        </w:rPr>
        <w:t xml:space="preserve"> do</w:t>
      </w:r>
      <w:r w:rsidR="00F77BF3" w:rsidRPr="00305EB8">
        <w:rPr>
          <w:rFonts w:cs="Times"/>
        </w:rPr>
        <w:t xml:space="preserve"> </w:t>
      </w:r>
      <w:r w:rsidRPr="00305EB8">
        <w:rPr>
          <w:rFonts w:cs="Times"/>
        </w:rPr>
        <w:t>rozporządzenia, wykorzystywanych w szczególności w bezprzewodowych systemach dostępu, takich jak lokalne sieci radiowe (WAS/RLAN), lub w urządzeniach do szerokopasmowej transmisji danych w sieciach danych,</w:t>
      </w:r>
      <w:r w:rsidR="009A203B" w:rsidRPr="00305EB8">
        <w:rPr>
          <w:rFonts w:cs="Times"/>
        </w:rPr>
        <w:t>”</w:t>
      </w:r>
      <w:r w:rsidR="003D4108" w:rsidRPr="00305EB8">
        <w:rPr>
          <w:rFonts w:cs="Times"/>
        </w:rPr>
        <w:t>,</w:t>
      </w:r>
    </w:p>
    <w:p w14:paraId="48C00F71" w14:textId="1507F2B0" w:rsidR="00E1519A" w:rsidRPr="00305EB8" w:rsidRDefault="00720ECB" w:rsidP="003435D4">
      <w:pPr>
        <w:pStyle w:val="TIRtiret"/>
        <w:rPr>
          <w:rFonts w:cs="Times"/>
        </w:rPr>
      </w:pPr>
      <w:r w:rsidRPr="00305EB8">
        <w:rPr>
          <w:rFonts w:cs="Times"/>
        </w:rPr>
        <w:t xml:space="preserve">- - </w:t>
      </w:r>
      <w:r w:rsidR="00E62ED6" w:rsidRPr="00305EB8">
        <w:rPr>
          <w:rFonts w:cs="Times"/>
        </w:rPr>
        <w:t xml:space="preserve"> lit. f otrzymuje brzmienie:</w:t>
      </w:r>
    </w:p>
    <w:p w14:paraId="3AA3E8B9" w14:textId="4FFB58FC" w:rsidR="00E62ED6" w:rsidRPr="001A1292" w:rsidRDefault="00E62ED6" w:rsidP="00720ECB">
      <w:pPr>
        <w:pStyle w:val="TIRtiret"/>
        <w:rPr>
          <w:rFonts w:cs="Times"/>
        </w:rPr>
      </w:pPr>
      <w:r w:rsidRPr="00305EB8">
        <w:rPr>
          <w:rFonts w:cs="Times"/>
        </w:rPr>
        <w:t>„f)</w:t>
      </w:r>
      <w:r w:rsidR="00720ECB" w:rsidRPr="00305EB8">
        <w:rPr>
          <w:rFonts w:cs="Times"/>
        </w:rPr>
        <w:tab/>
      </w:r>
      <w:r w:rsidRPr="00305EB8">
        <w:rPr>
          <w:rFonts w:cs="Times"/>
        </w:rPr>
        <w:t>na potrzeby mikrofonów bezprzewodowych, urządzeń wspomagających słuch i</w:t>
      </w:r>
      <w:r w:rsidR="00720ECB" w:rsidRPr="00305EB8">
        <w:rPr>
          <w:rFonts w:cs="Times"/>
        </w:rPr>
        <w:t> </w:t>
      </w:r>
      <w:r w:rsidRPr="00305EB8">
        <w:rPr>
          <w:rFonts w:cs="Times"/>
        </w:rPr>
        <w:t xml:space="preserve">urządzeń bezprzewodowych do transmisji sygnałów akustycznych, w szczególności głośników bezprzewodowych, słuchawek bezprzewodowych, słuchawek bezprzewodowych do urządzeń przenośnych, zestawów głośnomówiących, dousznych monitorów odsłuchowych wykorzystywanych do przekazywania dźwięku na koncertach i widowiskach scenicznych, określonych w załączniku nr </w:t>
      </w:r>
      <w:r w:rsidR="00C328E7" w:rsidRPr="001A1292">
        <w:rPr>
          <w:rFonts w:cs="Times"/>
        </w:rPr>
        <w:t>6</w:t>
      </w:r>
      <w:r w:rsidRPr="001A1292">
        <w:rPr>
          <w:rFonts w:cs="Times"/>
        </w:rPr>
        <w:t xml:space="preserve"> do rozporządzenia,”</w:t>
      </w:r>
      <w:r w:rsidR="003D4108" w:rsidRPr="001A1292">
        <w:rPr>
          <w:rFonts w:cs="Times"/>
        </w:rPr>
        <w:t>,</w:t>
      </w:r>
    </w:p>
    <w:p w14:paraId="3D23C5C4" w14:textId="64C1B3ED" w:rsidR="003435D4" w:rsidRPr="001A1292" w:rsidRDefault="003435D4" w:rsidP="003435D4">
      <w:pPr>
        <w:pStyle w:val="TIRtiret"/>
        <w:rPr>
          <w:rFonts w:cs="Times"/>
        </w:rPr>
      </w:pPr>
      <w:r w:rsidRPr="001A1292">
        <w:rPr>
          <w:rFonts w:cs="Times"/>
        </w:rPr>
        <w:t xml:space="preserve">- </w:t>
      </w:r>
      <w:r w:rsidR="00720ECB" w:rsidRPr="001A1292">
        <w:rPr>
          <w:rFonts w:cs="Times"/>
        </w:rPr>
        <w:t xml:space="preserve">- </w:t>
      </w:r>
      <w:r w:rsidRPr="001A1292">
        <w:rPr>
          <w:rFonts w:cs="Times"/>
        </w:rPr>
        <w:t>lit. h otrzymuje brzmienie:</w:t>
      </w:r>
    </w:p>
    <w:p w14:paraId="2066D1C3" w14:textId="7C184D92" w:rsidR="003435D4" w:rsidRPr="001A1292" w:rsidRDefault="003435D4" w:rsidP="003435D4">
      <w:pPr>
        <w:pStyle w:val="TIRtiret"/>
        <w:rPr>
          <w:rFonts w:cs="Times"/>
        </w:rPr>
      </w:pPr>
      <w:r w:rsidRPr="001A1292">
        <w:rPr>
          <w:rFonts w:cs="Times"/>
        </w:rPr>
        <w:t>„h)</w:t>
      </w:r>
      <w:r w:rsidR="00720ECB" w:rsidRPr="001A1292">
        <w:rPr>
          <w:rFonts w:cs="Times"/>
        </w:rPr>
        <w:tab/>
      </w:r>
      <w:r w:rsidRPr="001A1292">
        <w:rPr>
          <w:rFonts w:cs="Times"/>
        </w:rPr>
        <w:t>bezprzewodowych do stosowania w ochronie zdrowia, stanowiących element radiowy aktywnych wyrobów medycznych do implantacji w rozumieniu ustawy z dnia 7 kwietnia 2022 r. o wyrobach medycznych (Dz. U. poz. 974), określonych w załączniku nr 8 do rozporządzenia,”,</w:t>
      </w:r>
    </w:p>
    <w:p w14:paraId="2389EC59" w14:textId="77777777" w:rsidR="003435D4" w:rsidRPr="001A1292" w:rsidRDefault="003435D4" w:rsidP="003435D4">
      <w:pPr>
        <w:pStyle w:val="TIRtiret"/>
        <w:rPr>
          <w:rFonts w:cs="Times"/>
        </w:rPr>
      </w:pPr>
      <w:r w:rsidRPr="001A1292">
        <w:rPr>
          <w:rFonts w:cs="Times"/>
        </w:rPr>
        <w:t>- w pkt 13 kropkę zastępuje się średnikiem i dodaje się pkt 14 w brzmieniu:</w:t>
      </w:r>
    </w:p>
    <w:p w14:paraId="7D3CE93F" w14:textId="467A4005" w:rsidR="003435D4" w:rsidRPr="001A1292" w:rsidRDefault="003435D4" w:rsidP="003435D4">
      <w:pPr>
        <w:pStyle w:val="TIRtiret"/>
        <w:rPr>
          <w:rFonts w:cs="Times"/>
        </w:rPr>
      </w:pPr>
      <w:r w:rsidRPr="001A1292">
        <w:rPr>
          <w:rFonts w:cs="Times"/>
        </w:rPr>
        <w:t>„14)</w:t>
      </w:r>
      <w:r w:rsidR="00720ECB" w:rsidRPr="001A1292">
        <w:rPr>
          <w:rFonts w:cs="Times"/>
        </w:rPr>
        <w:tab/>
      </w:r>
      <w:r w:rsidRPr="001A1292">
        <w:rPr>
          <w:rFonts w:cs="Times"/>
        </w:rPr>
        <w:t xml:space="preserve">umieszczonych w celach badawczych wewnątrz struktury ekranującej, w szczególności w komorze </w:t>
      </w:r>
      <w:proofErr w:type="spellStart"/>
      <w:r w:rsidRPr="001A1292">
        <w:rPr>
          <w:rFonts w:cs="Times"/>
        </w:rPr>
        <w:t>bezodbiciowej</w:t>
      </w:r>
      <w:proofErr w:type="spellEnd"/>
      <w:r w:rsidRPr="001A1292">
        <w:rPr>
          <w:rFonts w:cs="Times"/>
        </w:rPr>
        <w:t xml:space="preserve"> lub w komorze ekranowanej, o skuteczności ekranowania nie mniejszej niż 70 </w:t>
      </w:r>
      <w:proofErr w:type="spellStart"/>
      <w:r w:rsidRPr="001A1292">
        <w:rPr>
          <w:rFonts w:cs="Times"/>
        </w:rPr>
        <w:t>dB</w:t>
      </w:r>
      <w:proofErr w:type="spellEnd"/>
      <w:r w:rsidRPr="001A1292">
        <w:rPr>
          <w:rFonts w:cs="Times"/>
        </w:rPr>
        <w:t>.”,</w:t>
      </w:r>
    </w:p>
    <w:p w14:paraId="24CD0AB4" w14:textId="38E9DCF4" w:rsidR="003435D4" w:rsidRPr="001A1292" w:rsidRDefault="003435D4" w:rsidP="003435D4">
      <w:pPr>
        <w:pStyle w:val="LITlitera"/>
        <w:rPr>
          <w:rFonts w:cs="Times"/>
        </w:rPr>
      </w:pPr>
      <w:r w:rsidRPr="001A1292">
        <w:rPr>
          <w:rFonts w:cs="Times"/>
        </w:rPr>
        <w:t>b)</w:t>
      </w:r>
      <w:r w:rsidR="00720ECB" w:rsidRPr="001A1292">
        <w:rPr>
          <w:rFonts w:cs="Times"/>
        </w:rPr>
        <w:tab/>
        <w:t xml:space="preserve">w </w:t>
      </w:r>
      <w:r w:rsidRPr="001A1292">
        <w:rPr>
          <w:rFonts w:cs="Times"/>
        </w:rPr>
        <w:t xml:space="preserve">ust. 2 </w:t>
      </w:r>
      <w:bookmarkStart w:id="0" w:name="_Hlk135338901"/>
      <w:r w:rsidR="00F75CF7" w:rsidRPr="001A1292">
        <w:rPr>
          <w:rFonts w:cs="Times"/>
        </w:rPr>
        <w:t xml:space="preserve">w zdaniu </w:t>
      </w:r>
      <w:r w:rsidR="00CD2B01" w:rsidRPr="001A1292">
        <w:rPr>
          <w:rFonts w:cs="Times"/>
        </w:rPr>
        <w:t xml:space="preserve">drugim </w:t>
      </w:r>
      <w:r w:rsidR="00720ECB" w:rsidRPr="001A1292">
        <w:rPr>
          <w:rFonts w:cs="Times"/>
        </w:rPr>
        <w:t>wyraz</w:t>
      </w:r>
      <w:r w:rsidR="00BF332A" w:rsidRPr="001A1292">
        <w:rPr>
          <w:rFonts w:cs="Times"/>
        </w:rPr>
        <w:t>y</w:t>
      </w:r>
      <w:bookmarkEnd w:id="0"/>
      <w:r w:rsidR="00720ECB" w:rsidRPr="001A1292">
        <w:rPr>
          <w:rFonts w:cs="Times"/>
        </w:rPr>
        <w:t xml:space="preserve"> „o których mowa w ust. 1 pkt. 5-1</w:t>
      </w:r>
      <w:r w:rsidR="00BF332A" w:rsidRPr="001A1292">
        <w:rPr>
          <w:rFonts w:cs="Times"/>
        </w:rPr>
        <w:t>3</w:t>
      </w:r>
      <w:r w:rsidR="00720ECB" w:rsidRPr="001A1292">
        <w:rPr>
          <w:rFonts w:cs="Times"/>
        </w:rPr>
        <w:t>” zastępuje się wyrazami „</w:t>
      </w:r>
      <w:r w:rsidR="00BF332A" w:rsidRPr="001A1292">
        <w:rPr>
          <w:rFonts w:cs="Times"/>
        </w:rPr>
        <w:t>o których mowa w ust. 1 pkt. 5-14”,</w:t>
      </w:r>
    </w:p>
    <w:p w14:paraId="67E4353C" w14:textId="32F4FCF5" w:rsidR="00BF332A" w:rsidRPr="00305EB8" w:rsidRDefault="003435D4" w:rsidP="00BF332A">
      <w:pPr>
        <w:pStyle w:val="LITlitera"/>
        <w:rPr>
          <w:rFonts w:cs="Times"/>
        </w:rPr>
      </w:pPr>
      <w:r w:rsidRPr="008E4734">
        <w:rPr>
          <w:rFonts w:cs="Times"/>
        </w:rPr>
        <w:t>c)</w:t>
      </w:r>
      <w:r w:rsidR="00720ECB" w:rsidRPr="00305EB8">
        <w:rPr>
          <w:rFonts w:cs="Times"/>
        </w:rPr>
        <w:tab/>
      </w:r>
      <w:r w:rsidR="00BF332A" w:rsidRPr="00305EB8">
        <w:rPr>
          <w:rFonts w:cs="Times"/>
        </w:rPr>
        <w:t xml:space="preserve">w </w:t>
      </w:r>
      <w:r w:rsidRPr="00305EB8">
        <w:rPr>
          <w:rFonts w:cs="Times"/>
        </w:rPr>
        <w:t>ust. 3</w:t>
      </w:r>
      <w:r w:rsidR="00BF332A" w:rsidRPr="00305EB8">
        <w:rPr>
          <w:rFonts w:cs="Times"/>
        </w:rPr>
        <w:t xml:space="preserve"> w zdaniu pierwszym</w:t>
      </w:r>
      <w:r w:rsidRPr="00305EB8">
        <w:rPr>
          <w:rFonts w:cs="Times"/>
        </w:rPr>
        <w:t xml:space="preserve"> </w:t>
      </w:r>
      <w:r w:rsidR="00BF332A" w:rsidRPr="00305EB8">
        <w:rPr>
          <w:rFonts w:cs="Times"/>
        </w:rPr>
        <w:t xml:space="preserve">wyrazy </w:t>
      </w:r>
      <w:bookmarkStart w:id="1" w:name="_Hlk135338974"/>
      <w:r w:rsidR="00BF332A" w:rsidRPr="00305EB8">
        <w:rPr>
          <w:rFonts w:cs="Times"/>
        </w:rPr>
        <w:t>„</w:t>
      </w:r>
      <w:r w:rsidRPr="00305EB8">
        <w:rPr>
          <w:rFonts w:cs="Times"/>
        </w:rPr>
        <w:t>o których mowa w ust. 1 pkt. 1-7, 9-1</w:t>
      </w:r>
      <w:r w:rsidR="00BF332A" w:rsidRPr="00305EB8">
        <w:rPr>
          <w:rFonts w:cs="Times"/>
        </w:rPr>
        <w:t>3”</w:t>
      </w:r>
      <w:bookmarkEnd w:id="1"/>
      <w:r w:rsidR="00BF332A" w:rsidRPr="00305EB8">
        <w:rPr>
          <w:rFonts w:cs="Times"/>
        </w:rPr>
        <w:t xml:space="preserve"> zastępuje się wyrazami „o których mowa w ust. 1 pkt. 1-7, 9-14”,</w:t>
      </w:r>
    </w:p>
    <w:p w14:paraId="6148B688" w14:textId="7B991A71" w:rsidR="00BF332A" w:rsidRPr="00305EB8" w:rsidRDefault="003435D4" w:rsidP="00BF332A">
      <w:pPr>
        <w:pStyle w:val="LITlitera"/>
        <w:rPr>
          <w:rFonts w:cs="Times"/>
        </w:rPr>
      </w:pPr>
      <w:r w:rsidRPr="00305EB8">
        <w:rPr>
          <w:rFonts w:cs="Times"/>
        </w:rPr>
        <w:t>d)</w:t>
      </w:r>
      <w:r w:rsidR="00BF332A" w:rsidRPr="00305EB8">
        <w:rPr>
          <w:rFonts w:cs="Times"/>
        </w:rPr>
        <w:tab/>
        <w:t xml:space="preserve">w </w:t>
      </w:r>
      <w:r w:rsidRPr="00305EB8">
        <w:rPr>
          <w:rFonts w:cs="Times"/>
        </w:rPr>
        <w:t xml:space="preserve">ust. 4 </w:t>
      </w:r>
      <w:r w:rsidR="00BF332A" w:rsidRPr="00305EB8">
        <w:rPr>
          <w:rFonts w:cs="Times"/>
        </w:rPr>
        <w:t>w zdaniu pierwszym wyrazy „</w:t>
      </w:r>
      <w:r w:rsidRPr="00305EB8">
        <w:rPr>
          <w:rFonts w:cs="Times"/>
        </w:rPr>
        <w:t>o których mowa w ust. 1 pkt. 1-9, 12</w:t>
      </w:r>
      <w:r w:rsidR="00BF332A" w:rsidRPr="00305EB8">
        <w:rPr>
          <w:rFonts w:cs="Times"/>
        </w:rPr>
        <w:t xml:space="preserve"> i </w:t>
      </w:r>
      <w:r w:rsidRPr="00305EB8">
        <w:rPr>
          <w:rFonts w:cs="Times"/>
        </w:rPr>
        <w:t>1</w:t>
      </w:r>
      <w:r w:rsidR="00BF332A" w:rsidRPr="00305EB8">
        <w:rPr>
          <w:rFonts w:cs="Times"/>
        </w:rPr>
        <w:t>3” zastępuje się wyrazami „o których mowa w ust. 1 pkt. 1-9, 12 -14”;</w:t>
      </w:r>
    </w:p>
    <w:p w14:paraId="67D40BEB" w14:textId="5B374512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t>3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  <w:t>załącznik nr 2 do zmienianego rozporządzenia otrzymuje brzmienie określone w załączniku nr 1 do niniejszego rozporządzenia;</w:t>
      </w:r>
    </w:p>
    <w:p w14:paraId="4CDA2A49" w14:textId="7261AB03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t>4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  <w:t>załącznik nr 4 do zmienianego rozporządzenia otrzymuje brzmienie określone w załączniku nr 2 do niniejszego rozporządzenia;</w:t>
      </w:r>
    </w:p>
    <w:p w14:paraId="68950C48" w14:textId="27EA8C60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t>5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  <w:t>załącznik nr 5 do zmienianego rozporządzenia otrzymuje brzmienie określone w załączniku nr 3 do zmienianego niniejszego rozporządzenia;</w:t>
      </w:r>
    </w:p>
    <w:p w14:paraId="39051739" w14:textId="703D1B65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lastRenderedPageBreak/>
        <w:t>6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  <w:t>załącznik nr 6 do zmienianego rozporządzenia otrzymuje brzmienie określone w załączniku nr 4 do niniejszego rozporządzenia;</w:t>
      </w:r>
    </w:p>
    <w:p w14:paraId="1358C338" w14:textId="6C180322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t>7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  <w:t>załącznik nr 12 do zmienianego rozporządzenia otrzymuje brzmienie określone w załączniku nr 5 do niniejszego rozporządzenia;</w:t>
      </w:r>
    </w:p>
    <w:p w14:paraId="4F460932" w14:textId="7350EF32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t>8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</w:r>
      <w:r w:rsidR="0030355B" w:rsidRPr="00305EB8">
        <w:rPr>
          <w:rFonts w:cs="Times"/>
        </w:rPr>
        <w:t xml:space="preserve"> w załączniku nr 13 do zmienianego rozporządzenia wyrazy</w:t>
      </w:r>
      <w:r w:rsidR="00B54725" w:rsidRPr="00305EB8">
        <w:rPr>
          <w:rFonts w:cs="Times"/>
        </w:rPr>
        <w:t>:</w:t>
      </w:r>
      <w:r w:rsidR="0030355B" w:rsidRPr="00305EB8">
        <w:rPr>
          <w:rFonts w:cs="Times"/>
        </w:rPr>
        <w:t xml:space="preserve"> </w:t>
      </w:r>
      <w:bookmarkStart w:id="2" w:name="_Hlk135339711"/>
      <w:r w:rsidR="0030355B" w:rsidRPr="00305EB8">
        <w:rPr>
          <w:rFonts w:cs="Times"/>
        </w:rPr>
        <w:t>„</w:t>
      </w:r>
      <w:bookmarkEnd w:id="2"/>
      <w:r w:rsidR="0030355B" w:rsidRPr="00305EB8">
        <w:rPr>
          <w:rFonts w:cs="Times"/>
        </w:rPr>
        <w:t>Dz. U. UE L 26 z 03.02.2017, s. 63” zastępuje się wyrazami</w:t>
      </w:r>
      <w:r w:rsidR="00B54725" w:rsidRPr="00305EB8">
        <w:rPr>
          <w:rFonts w:cs="Times"/>
        </w:rPr>
        <w:t>:</w:t>
      </w:r>
      <w:r w:rsidR="0030355B" w:rsidRPr="00305EB8">
        <w:rPr>
          <w:rFonts w:cs="Times"/>
        </w:rPr>
        <w:t xml:space="preserve"> „Dz. Urz. UE L 29 z 03.02.2017, str. 63”</w:t>
      </w:r>
      <w:r w:rsidR="003435D4" w:rsidRPr="00305EB8">
        <w:rPr>
          <w:rFonts w:cs="Times"/>
        </w:rPr>
        <w:t>;</w:t>
      </w:r>
    </w:p>
    <w:p w14:paraId="4CDB9270" w14:textId="02F53499" w:rsidR="003435D4" w:rsidRPr="00305EB8" w:rsidRDefault="00EA006B" w:rsidP="003435D4">
      <w:pPr>
        <w:pStyle w:val="PKTpunkt"/>
        <w:rPr>
          <w:rFonts w:cs="Times"/>
        </w:rPr>
      </w:pPr>
      <w:r w:rsidRPr="00305EB8">
        <w:rPr>
          <w:rFonts w:cs="Times"/>
        </w:rPr>
        <w:t>9</w:t>
      </w:r>
      <w:r w:rsidR="003435D4" w:rsidRPr="00305EB8">
        <w:rPr>
          <w:rFonts w:cs="Times"/>
        </w:rPr>
        <w:t>)</w:t>
      </w:r>
      <w:r w:rsidR="003435D4" w:rsidRPr="00305EB8">
        <w:rPr>
          <w:rFonts w:cs="Times"/>
        </w:rPr>
        <w:tab/>
        <w:t>załącznik nr 14 do zmienianego rozporządzenia otrzymuje brzmienie określone w załączniku nr 6 do niniejszego rozporządzenia.</w:t>
      </w:r>
    </w:p>
    <w:p w14:paraId="23FEF461" w14:textId="795B51A0" w:rsidR="00FA0B0F" w:rsidRPr="001A1292" w:rsidRDefault="00EA006B" w:rsidP="002B43D4">
      <w:pPr>
        <w:pStyle w:val="PKTpunkt"/>
        <w:rPr>
          <w:rFonts w:cs="Times"/>
        </w:rPr>
      </w:pPr>
      <w:r w:rsidRPr="00305EB8">
        <w:rPr>
          <w:rFonts w:cs="Times"/>
        </w:rPr>
        <w:t>10</w:t>
      </w:r>
      <w:r w:rsidR="00FA0B0F" w:rsidRPr="00305EB8">
        <w:rPr>
          <w:rFonts w:cs="Times"/>
        </w:rPr>
        <w:t xml:space="preserve">) </w:t>
      </w:r>
      <w:r w:rsidR="00FA0B0F" w:rsidRPr="00305EB8">
        <w:rPr>
          <w:rFonts w:cs="Times"/>
        </w:rPr>
        <w:tab/>
        <w:t>w załączniku nr 15 do zmienianego rozporządzenia wyrazy</w:t>
      </w:r>
      <w:r w:rsidR="00B54725" w:rsidRPr="00305EB8">
        <w:rPr>
          <w:rFonts w:cs="Times"/>
        </w:rPr>
        <w:t>:</w:t>
      </w:r>
      <w:r w:rsidR="00FA0B0F" w:rsidRPr="00305EB8">
        <w:rPr>
          <w:rFonts w:cs="Times"/>
        </w:rPr>
        <w:t xml:space="preserve"> „</w:t>
      </w:r>
      <w:r w:rsidR="002B43D4" w:rsidRPr="00305EB8">
        <w:rPr>
          <w:rFonts w:cs="Times"/>
        </w:rPr>
        <w:t>w decyzji wykonawczej Komisji (UE) 2018/1538 z dnia 11 października 2018 r. w sprawie harmonizacji widma radiowego na potrzeby urządzeń bliskiego zasięgu w zakresach częstotliwości 874–876 MHz i 915–921 MHz (Dz. Urz. UE L 257 z 15.10.2018</w:t>
      </w:r>
      <w:r w:rsidR="00B54725" w:rsidRPr="00305EB8">
        <w:rPr>
          <w:rFonts w:cs="Times"/>
        </w:rPr>
        <w:t>, str. 57)”</w:t>
      </w:r>
      <w:r w:rsidR="002B43D4" w:rsidRPr="00305EB8">
        <w:rPr>
          <w:rFonts w:cs="Times"/>
        </w:rPr>
        <w:t xml:space="preserve"> zastępuje się wyrazami</w:t>
      </w:r>
      <w:r w:rsidR="00B54725" w:rsidRPr="00305EB8">
        <w:rPr>
          <w:rFonts w:cs="Times"/>
        </w:rPr>
        <w:t>:</w:t>
      </w:r>
      <w:r w:rsidR="002B43D4" w:rsidRPr="00305EB8">
        <w:rPr>
          <w:rFonts w:cs="Times"/>
        </w:rPr>
        <w:t xml:space="preserve"> </w:t>
      </w:r>
      <w:r w:rsidR="00B54725" w:rsidRPr="00305EB8">
        <w:rPr>
          <w:rFonts w:cs="Times"/>
        </w:rPr>
        <w:t>„</w:t>
      </w:r>
      <w:r w:rsidR="002102A7" w:rsidRPr="00305EB8">
        <w:rPr>
          <w:rFonts w:cs="Times"/>
        </w:rPr>
        <w:t xml:space="preserve">w </w:t>
      </w:r>
      <w:r w:rsidR="00B54725" w:rsidRPr="00305EB8">
        <w:rPr>
          <w:rFonts w:cs="Times"/>
        </w:rPr>
        <w:t>decyzj</w:t>
      </w:r>
      <w:r w:rsidR="00A353F7" w:rsidRPr="00305EB8">
        <w:rPr>
          <w:rFonts w:cs="Times"/>
        </w:rPr>
        <w:t>i</w:t>
      </w:r>
      <w:r w:rsidR="00B54725" w:rsidRPr="00305EB8">
        <w:rPr>
          <w:rFonts w:cs="Times"/>
        </w:rPr>
        <w:t xml:space="preserve"> wykonawcz</w:t>
      </w:r>
      <w:r w:rsidR="00A353F7" w:rsidRPr="00305EB8">
        <w:rPr>
          <w:rFonts w:cs="Times"/>
        </w:rPr>
        <w:t>ej</w:t>
      </w:r>
      <w:r w:rsidR="00B54725" w:rsidRPr="00305EB8">
        <w:rPr>
          <w:rFonts w:cs="Times"/>
        </w:rPr>
        <w:t xml:space="preserve"> Komisji (UE) 2018/1538 z dnia 11 października 2018 r. w sprawie harmonizacji widma radiowego na potrzeby urządzeń bliskiego zasięgu w zakresach częstotliwości 874–876 MHz i 915–921 MHz (Dz. Urz. UE L </w:t>
      </w:r>
      <w:r w:rsidR="00E4409F" w:rsidRPr="00305EB8">
        <w:rPr>
          <w:rFonts w:cs="Times"/>
        </w:rPr>
        <w:t>257</w:t>
      </w:r>
      <w:r w:rsidR="00B54725" w:rsidRPr="00305EB8">
        <w:rPr>
          <w:rFonts w:cs="Times"/>
        </w:rPr>
        <w:t xml:space="preserve"> z </w:t>
      </w:r>
      <w:r w:rsidR="00E4409F" w:rsidRPr="00305EB8">
        <w:rPr>
          <w:rFonts w:cs="Times"/>
        </w:rPr>
        <w:t>15</w:t>
      </w:r>
      <w:r w:rsidR="00B54725" w:rsidRPr="00305EB8">
        <w:rPr>
          <w:rFonts w:cs="Times"/>
        </w:rPr>
        <w:t>.</w:t>
      </w:r>
      <w:r w:rsidR="00E4409F" w:rsidRPr="00305EB8">
        <w:rPr>
          <w:rFonts w:cs="Times"/>
        </w:rPr>
        <w:t>10</w:t>
      </w:r>
      <w:r w:rsidR="00B54725" w:rsidRPr="00305EB8">
        <w:rPr>
          <w:rFonts w:cs="Times"/>
        </w:rPr>
        <w:t>.20</w:t>
      </w:r>
      <w:r w:rsidR="00E4409F" w:rsidRPr="00305EB8">
        <w:rPr>
          <w:rFonts w:cs="Times"/>
        </w:rPr>
        <w:t>18</w:t>
      </w:r>
      <w:r w:rsidR="00B54725" w:rsidRPr="00305EB8">
        <w:rPr>
          <w:rFonts w:cs="Times"/>
        </w:rPr>
        <w:t xml:space="preserve">, str. </w:t>
      </w:r>
      <w:r w:rsidR="00E4409F" w:rsidRPr="00305EB8">
        <w:rPr>
          <w:rFonts w:cs="Times"/>
        </w:rPr>
        <w:t>57</w:t>
      </w:r>
      <w:bookmarkStart w:id="3" w:name="_Hlk135339758"/>
      <w:r w:rsidR="00C854D1">
        <w:rPr>
          <w:rFonts w:cs="Times"/>
        </w:rPr>
        <w:t xml:space="preserve"> i </w:t>
      </w:r>
      <w:r w:rsidR="00C854D1" w:rsidRPr="001A1292">
        <w:rPr>
          <w:rFonts w:cs="Times"/>
        </w:rPr>
        <w:t xml:space="preserve">Dz. Urz. </w:t>
      </w:r>
      <w:r w:rsidR="00C854D1" w:rsidRPr="001A1292">
        <w:rPr>
          <w:rFonts w:cs="Times"/>
          <w:lang w:val="en-US"/>
        </w:rPr>
        <w:t>UE L. 28 z 9.2.2022, str. 21</w:t>
      </w:r>
      <w:r w:rsidR="008478D0">
        <w:rPr>
          <w:rFonts w:cs="Times"/>
          <w:lang w:val="en-US"/>
        </w:rPr>
        <w:t>)</w:t>
      </w:r>
      <w:r w:rsidR="00C854D1">
        <w:rPr>
          <w:rFonts w:cs="Times"/>
          <w:lang w:val="en-US"/>
        </w:rPr>
        <w:t>.</w:t>
      </w:r>
      <w:r w:rsidR="00B54725" w:rsidRPr="001A1292">
        <w:rPr>
          <w:rFonts w:cs="Times"/>
        </w:rPr>
        <w:t>”</w:t>
      </w:r>
      <w:bookmarkEnd w:id="3"/>
      <w:r w:rsidR="00B54725" w:rsidRPr="001A1292">
        <w:rPr>
          <w:rFonts w:cs="Times"/>
        </w:rPr>
        <w:t>.</w:t>
      </w:r>
    </w:p>
    <w:p w14:paraId="1E8DB346" w14:textId="7A776399" w:rsidR="003435D4" w:rsidRPr="001A1292" w:rsidRDefault="003435D4" w:rsidP="003435D4">
      <w:pPr>
        <w:pStyle w:val="ARTartustawynprozporzdzenia"/>
        <w:rPr>
          <w:rFonts w:cs="Times"/>
        </w:rPr>
      </w:pPr>
      <w:r w:rsidRPr="001A1292">
        <w:rPr>
          <w:rFonts w:cs="Times"/>
        </w:rPr>
        <w:t xml:space="preserve">§ 2. </w:t>
      </w:r>
      <w:r w:rsidR="00BF332A" w:rsidRPr="001A1292">
        <w:rPr>
          <w:rFonts w:cs="Times"/>
        </w:rPr>
        <w:t>R</w:t>
      </w:r>
      <w:r w:rsidRPr="001A1292">
        <w:rPr>
          <w:rFonts w:cs="Times"/>
        </w:rPr>
        <w:t>ozporządzenie wchodzi w życie po upływie 14 dni od dnia ogłoszenia.</w:t>
      </w:r>
    </w:p>
    <w:p w14:paraId="3D233D13" w14:textId="77777777" w:rsidR="003435D4" w:rsidRPr="001A1292" w:rsidRDefault="003435D4" w:rsidP="003435D4">
      <w:pPr>
        <w:pStyle w:val="ARTartustawynprozporzdzenia"/>
        <w:rPr>
          <w:rFonts w:cs="Times"/>
        </w:rPr>
      </w:pPr>
    </w:p>
    <w:p w14:paraId="0BEAE808" w14:textId="7F4E6B43" w:rsidR="00303897" w:rsidRDefault="003435D4" w:rsidP="003435D4">
      <w:pPr>
        <w:pStyle w:val="NAZORGWYDnazwaorganuwydajcegoprojektowanyakt"/>
        <w:rPr>
          <w:rFonts w:cs="Times"/>
        </w:rPr>
      </w:pPr>
      <w:r w:rsidRPr="001A1292">
        <w:rPr>
          <w:rFonts w:cs="Times"/>
        </w:rPr>
        <w:t>Minister Cyfryzacji</w:t>
      </w:r>
    </w:p>
    <w:p w14:paraId="7E75EA10" w14:textId="0CA16A6A" w:rsidR="009B3039" w:rsidRDefault="009B3039" w:rsidP="009B3039">
      <w:pPr>
        <w:jc w:val="left"/>
      </w:pPr>
    </w:p>
    <w:p w14:paraId="277C2F10" w14:textId="62264862" w:rsidR="009B3039" w:rsidRDefault="009B3039" w:rsidP="003435D4">
      <w:pPr>
        <w:pStyle w:val="NAZORGWYDnazwaorganuwydajcegoprojektowanyakt"/>
        <w:rPr>
          <w:rFonts w:cs="Times"/>
        </w:rPr>
      </w:pPr>
    </w:p>
    <w:p w14:paraId="7EF0DFD6" w14:textId="77777777" w:rsidR="0084349D" w:rsidRDefault="0084349D" w:rsidP="0084349D">
      <w:pPr>
        <w:pStyle w:val="NOTATKILEGISLATORA"/>
        <w:rPr>
          <w:rStyle w:val="IDPindeksdolnyipogrubienie"/>
        </w:rPr>
      </w:pPr>
    </w:p>
    <w:p w14:paraId="0D7926D6" w14:textId="77777777" w:rsidR="0084349D" w:rsidRDefault="0084349D" w:rsidP="0084349D">
      <w:pPr>
        <w:pStyle w:val="NOTATKILEGISLATORA"/>
        <w:rPr>
          <w:rStyle w:val="IDPindeksdolnyipogrubienie"/>
        </w:rPr>
      </w:pPr>
    </w:p>
    <w:p w14:paraId="5D3024F8" w14:textId="79C81FCE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>ZA ZGODNOŚĆ POD WZGLĘDEM PRAWNYM,</w:t>
      </w:r>
    </w:p>
    <w:p w14:paraId="1B07383B" w14:textId="77777777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>LEGISLACYJNYM I REDAKCYJNYM</w:t>
      </w:r>
    </w:p>
    <w:p w14:paraId="7F04E5C1" w14:textId="77777777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>Anna Markowska</w:t>
      </w:r>
    </w:p>
    <w:p w14:paraId="79EF1166" w14:textId="77777777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>Zastępca Dyrektora</w:t>
      </w:r>
    </w:p>
    <w:p w14:paraId="637B72A9" w14:textId="1A7D2A9F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 xml:space="preserve">Departamentu </w:t>
      </w:r>
      <w:r w:rsidR="0084349D">
        <w:rPr>
          <w:rStyle w:val="IDPindeksdolnyipogrubienie"/>
        </w:rPr>
        <w:t>Prawnego</w:t>
      </w:r>
    </w:p>
    <w:p w14:paraId="11EA99EF" w14:textId="6BAE286B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 xml:space="preserve">w </w:t>
      </w:r>
      <w:r w:rsidR="0084349D">
        <w:rPr>
          <w:rStyle w:val="IDPindeksdolnyipogrubienie"/>
        </w:rPr>
        <w:t>Ministerstwie Cyfryzacji</w:t>
      </w:r>
    </w:p>
    <w:p w14:paraId="71B3D40E" w14:textId="702025CF" w:rsidR="009B3039" w:rsidRPr="0084349D" w:rsidRDefault="009B3039" w:rsidP="0084349D">
      <w:pPr>
        <w:pStyle w:val="NOTATKILEGISLATORA"/>
        <w:rPr>
          <w:rStyle w:val="IDPindeksdolnyipogrubienie"/>
        </w:rPr>
      </w:pPr>
      <w:r w:rsidRPr="0084349D">
        <w:rPr>
          <w:rStyle w:val="IDPindeksdolnyipogrubienie"/>
        </w:rPr>
        <w:t>/podpisano elektronicznie/</w:t>
      </w:r>
    </w:p>
    <w:p w14:paraId="614D6515" w14:textId="77777777" w:rsidR="009B3039" w:rsidRPr="001A1292" w:rsidRDefault="009B3039" w:rsidP="003435D4">
      <w:pPr>
        <w:pStyle w:val="NAZORGWYDnazwaorganuwydajcegoprojektowanyakt"/>
        <w:rPr>
          <w:rFonts w:cs="Times"/>
        </w:rPr>
      </w:pPr>
    </w:p>
    <w:p w14:paraId="4DD4447C" w14:textId="77777777" w:rsidR="00303897" w:rsidRPr="00305EB8" w:rsidRDefault="00303897" w:rsidP="00303897">
      <w:pPr>
        <w:pStyle w:val="TEKSTZacznikido"/>
        <w:rPr>
          <w:rFonts w:ascii="Times" w:hAnsi="Times" w:cs="Times"/>
        </w:rPr>
      </w:pPr>
      <w:r w:rsidRPr="00305EB8">
        <w:rPr>
          <w:rFonts w:ascii="Times" w:hAnsi="Times" w:cs="Times"/>
        </w:rPr>
        <w:br w:type="column"/>
      </w:r>
      <w:r w:rsidRPr="00305EB8">
        <w:rPr>
          <w:rFonts w:ascii="Times" w:hAnsi="Times" w:cs="Times"/>
        </w:rPr>
        <w:lastRenderedPageBreak/>
        <w:t xml:space="preserve">Załączniki </w:t>
      </w:r>
      <w:r w:rsidRPr="00305EB8">
        <w:rPr>
          <w:rFonts w:ascii="Times" w:hAnsi="Times" w:cs="Times"/>
        </w:rPr>
        <w:br/>
        <w:t xml:space="preserve">do rozporządzenia Ministra Cyfryzacji </w:t>
      </w:r>
      <w:r w:rsidRPr="00305EB8">
        <w:rPr>
          <w:rFonts w:ascii="Times" w:hAnsi="Times" w:cs="Times"/>
        </w:rPr>
        <w:br/>
        <w:t>z dnia …… ………… 2023 r. (poz. ……)</w:t>
      </w:r>
    </w:p>
    <w:p w14:paraId="6354311F" w14:textId="77777777" w:rsidR="00303897" w:rsidRPr="00305EB8" w:rsidRDefault="00303897" w:rsidP="00303897">
      <w:pPr>
        <w:rPr>
          <w:rFonts w:ascii="Times" w:hAnsi="Times" w:cs="Times"/>
        </w:rPr>
      </w:pPr>
    </w:p>
    <w:p w14:paraId="2FED5791" w14:textId="4F9E9E9B" w:rsidR="00303897" w:rsidRPr="001A1292" w:rsidRDefault="00303897" w:rsidP="00303897">
      <w:pPr>
        <w:pStyle w:val="OZNZACZNIKAwskazanienrzacznika"/>
        <w:rPr>
          <w:rFonts w:ascii="Times" w:hAnsi="Times" w:cs="Times"/>
        </w:rPr>
      </w:pPr>
      <w:r w:rsidRPr="001A1292">
        <w:rPr>
          <w:rFonts w:ascii="Times" w:hAnsi="Times" w:cs="Times"/>
        </w:rPr>
        <w:t>Załącznik nr 1</w:t>
      </w:r>
    </w:p>
    <w:p w14:paraId="13377043" w14:textId="648A2AA2" w:rsidR="0063207C" w:rsidRPr="001A1292" w:rsidRDefault="0063207C" w:rsidP="00303897">
      <w:pPr>
        <w:pStyle w:val="OZNZACZNIKAwskazanienrzacznika"/>
        <w:rPr>
          <w:rFonts w:ascii="Times" w:hAnsi="Times" w:cs="Times"/>
        </w:rPr>
      </w:pPr>
      <w:bookmarkStart w:id="4" w:name="_Hlk135339783"/>
      <w:r w:rsidRPr="00305EB8">
        <w:rPr>
          <w:rFonts w:ascii="Times" w:hAnsi="Times" w:cs="Times"/>
        </w:rPr>
        <w:t>„Załącznik nr 2</w:t>
      </w:r>
    </w:p>
    <w:bookmarkEnd w:id="4"/>
    <w:p w14:paraId="3B8149F8" w14:textId="77777777" w:rsidR="008E4734" w:rsidRPr="008E4734" w:rsidRDefault="008E4734" w:rsidP="008E4734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317596">
        <w:rPr>
          <w:rStyle w:val="Ppogrubienie"/>
          <w:rFonts w:ascii="Times" w:hAnsi="Times" w:cs="Times"/>
          <w:sz w:val="24"/>
          <w:szCs w:val="24"/>
        </w:rPr>
        <w:t>WARUNKI UŻYWANIA URZĄDZEŃ BLISKIEGO ZASIĘGU SZEROKOPASMOWYCH SYSTEMÓW TRANSMISJI DANYCH</w:t>
      </w:r>
    </w:p>
    <w:p w14:paraId="59CFC88F" w14:textId="77777777" w:rsidR="008A40E9" w:rsidRPr="001A1292" w:rsidRDefault="008A40E9" w:rsidP="008A40E9">
      <w:pPr>
        <w:jc w:val="center"/>
        <w:rPr>
          <w:rStyle w:val="Ppogrubienie"/>
          <w:rFonts w:ascii="Times" w:hAnsi="Times" w:cs="Times"/>
          <w:sz w:val="24"/>
          <w:szCs w:val="24"/>
        </w:rPr>
      </w:pPr>
    </w:p>
    <w:p w14:paraId="134DF722" w14:textId="77777777" w:rsidR="00303897" w:rsidRPr="001A1292" w:rsidRDefault="00303897" w:rsidP="00303897">
      <w:pPr>
        <w:rPr>
          <w:rFonts w:ascii="Times" w:hAnsi="Times" w:cs="Times"/>
          <w:sz w:val="24"/>
        </w:rPr>
      </w:pPr>
      <w:r w:rsidRPr="001A1292">
        <w:rPr>
          <w:rFonts w:ascii="Times" w:hAnsi="Times" w:cs="Times"/>
          <w:sz w:val="24"/>
        </w:rPr>
        <w:t xml:space="preserve">Warunki używania urządzeń bliskiego zasięgu szerokopasmowych systemów transmisji danych, w szczególności zakresy wykorzystywanych przez nie częstotliwości, maksymalna moc promieniowana lub maksymalna gęstość mocy promieniowanej dla emisji wewnątrz pasma i dla emisji </w:t>
      </w:r>
      <w:proofErr w:type="spellStart"/>
      <w:r w:rsidRPr="001A1292">
        <w:rPr>
          <w:rFonts w:ascii="Times" w:hAnsi="Times" w:cs="Times"/>
          <w:sz w:val="24"/>
        </w:rPr>
        <w:t>pozapasmowych</w:t>
      </w:r>
      <w:proofErr w:type="spellEnd"/>
      <w:r w:rsidRPr="001A1292">
        <w:rPr>
          <w:rFonts w:ascii="Times" w:hAnsi="Times" w:cs="Times"/>
          <w:sz w:val="24"/>
        </w:rPr>
        <w:t xml:space="preserve"> oraz obszar ich używania, są zgodne z warunkami używania urządzeń radiowych określonymi w decyzjach wykonawczych Komisji Europejskiej:</w:t>
      </w:r>
    </w:p>
    <w:p w14:paraId="310E9D62" w14:textId="77777777" w:rsidR="00303897" w:rsidRPr="008E4734" w:rsidRDefault="00303897" w:rsidP="00303897">
      <w:pPr>
        <w:rPr>
          <w:rFonts w:ascii="Times" w:hAnsi="Times" w:cs="Times"/>
          <w:sz w:val="24"/>
        </w:rPr>
      </w:pPr>
      <w:r w:rsidRPr="001A1292">
        <w:rPr>
          <w:rFonts w:ascii="Times" w:hAnsi="Times" w:cs="Times"/>
          <w:sz w:val="24"/>
        </w:rPr>
        <w:t>1) (UE) 2021/1067 z dnia 17 czerwca 2021 r. w sprawie zharmonizowanego wykorzystania widma radio</w:t>
      </w:r>
      <w:r w:rsidRPr="008E4734">
        <w:rPr>
          <w:rFonts w:ascii="Times" w:hAnsi="Times" w:cs="Times"/>
          <w:sz w:val="24"/>
        </w:rPr>
        <w:t>wego w paśmie częstotliwości 5945–6425 MHz celem wdrożenia systemów dostępu bezprzewodowego, w tym lokalnych sieci radiowych (WAS/</w:t>
      </w:r>
      <w:proofErr w:type="spellStart"/>
      <w:r w:rsidRPr="008E4734">
        <w:rPr>
          <w:rFonts w:ascii="Times" w:hAnsi="Times" w:cs="Times"/>
          <w:sz w:val="24"/>
        </w:rPr>
        <w:t>RLANs</w:t>
      </w:r>
      <w:proofErr w:type="spellEnd"/>
      <w:r w:rsidRPr="008E4734">
        <w:rPr>
          <w:rFonts w:ascii="Times" w:hAnsi="Times" w:cs="Times"/>
          <w:sz w:val="24"/>
        </w:rPr>
        <w:t xml:space="preserve">) (Dz. Urz. UE L 232 z 30.06.2021, str. 1); </w:t>
      </w:r>
    </w:p>
    <w:p w14:paraId="18B87DC3" w14:textId="7940D677" w:rsidR="00303897" w:rsidRPr="001A1292" w:rsidRDefault="00303897" w:rsidP="00303897">
      <w:pPr>
        <w:rPr>
          <w:rFonts w:ascii="Times" w:hAnsi="Times" w:cs="Times"/>
          <w:sz w:val="24"/>
        </w:rPr>
      </w:pPr>
      <w:r w:rsidRPr="008E4734">
        <w:rPr>
          <w:rFonts w:ascii="Times" w:hAnsi="Times" w:cs="Times"/>
          <w:sz w:val="24"/>
        </w:rPr>
        <w:t>2) (UE) 2022/2307 z dnia 23 listopada 2022 r. zmieniająca decyzję wykonawczą (UE) 2022/179 w odniesieniu do wyznaczania i udostępniania zakresów częstotliwości 5150-5250 MHz, 5250-5350 MHz i 5470-5725 MHz zgodnie z warunkami technicznymi określonymi w załączniku (Dz. Urz. UE L 305 z 25.11.2022, str. 63).</w:t>
      </w:r>
      <w:r w:rsidR="0063207C" w:rsidRPr="00305EB8">
        <w:rPr>
          <w:rFonts w:ascii="Times" w:hAnsi="Times" w:cs="Times"/>
        </w:rPr>
        <w:t xml:space="preserve"> ”.</w:t>
      </w:r>
    </w:p>
    <w:p w14:paraId="78BD6E6A" w14:textId="77777777" w:rsidR="00303897" w:rsidRPr="00305EB8" w:rsidRDefault="00303897" w:rsidP="00303897">
      <w:pPr>
        <w:rPr>
          <w:rFonts w:ascii="Times" w:hAnsi="Times" w:cs="Times"/>
        </w:rPr>
      </w:pPr>
    </w:p>
    <w:p w14:paraId="1641CAC7" w14:textId="47707EAD" w:rsidR="00303897" w:rsidRPr="00305EB8" w:rsidRDefault="00303897" w:rsidP="00303897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br w:type="column"/>
      </w:r>
      <w:r w:rsidRPr="00305EB8">
        <w:rPr>
          <w:rFonts w:ascii="Times" w:hAnsi="Times" w:cs="Times"/>
        </w:rPr>
        <w:lastRenderedPageBreak/>
        <w:t>Załącznik nr 2</w:t>
      </w:r>
    </w:p>
    <w:p w14:paraId="305EEB1F" w14:textId="45D26A9D" w:rsidR="0063207C" w:rsidRPr="00305EB8" w:rsidRDefault="0063207C" w:rsidP="0063207C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t>„Załącznik nr 4</w:t>
      </w:r>
    </w:p>
    <w:p w14:paraId="41B89EF8" w14:textId="77777777" w:rsidR="0063207C" w:rsidRPr="00305EB8" w:rsidRDefault="0063207C" w:rsidP="00303897">
      <w:pPr>
        <w:pStyle w:val="OZNZACZNIKAwskazanienrzacznika"/>
        <w:rPr>
          <w:rFonts w:ascii="Times" w:hAnsi="Times" w:cs="Times"/>
        </w:rPr>
      </w:pPr>
    </w:p>
    <w:p w14:paraId="476434E8" w14:textId="5801C73B" w:rsidR="008E4734" w:rsidRDefault="008E4734" w:rsidP="008E4734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8A40E9">
        <w:rPr>
          <w:rStyle w:val="Ppogrubienie"/>
          <w:rFonts w:ascii="Times" w:hAnsi="Times" w:cs="Times"/>
          <w:sz w:val="24"/>
          <w:szCs w:val="24"/>
        </w:rPr>
        <w:t>URZĄDZENIA BLISKIEGO ZASIĘGU DO RADIOLOKACJI</w:t>
      </w:r>
    </w:p>
    <w:p w14:paraId="5744F6E0" w14:textId="77777777" w:rsidR="008E4734" w:rsidRPr="008A40E9" w:rsidRDefault="008E4734" w:rsidP="008E4734">
      <w:pPr>
        <w:jc w:val="center"/>
        <w:rPr>
          <w:rStyle w:val="Ppogrubienie"/>
          <w:rFonts w:ascii="Times" w:hAnsi="Times" w:cs="Time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1519"/>
        <w:gridCol w:w="2074"/>
        <w:gridCol w:w="1252"/>
        <w:gridCol w:w="1264"/>
        <w:gridCol w:w="2317"/>
      </w:tblGrid>
      <w:tr w:rsidR="00303897" w:rsidRPr="00305EB8" w14:paraId="636ABF4D" w14:textId="77777777" w:rsidTr="00303897">
        <w:tc>
          <w:tcPr>
            <w:tcW w:w="0" w:type="auto"/>
            <w:vAlign w:val="center"/>
          </w:tcPr>
          <w:p w14:paraId="0B2A01F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659ACB54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</w:t>
            </w:r>
          </w:p>
        </w:tc>
        <w:tc>
          <w:tcPr>
            <w:tcW w:w="0" w:type="auto"/>
            <w:vAlign w:val="center"/>
          </w:tcPr>
          <w:p w14:paraId="7E774ADA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Maksymalna moc promieniowana lub maksymalne natężenie pola magnetycznego</w:t>
            </w:r>
          </w:p>
        </w:tc>
        <w:tc>
          <w:tcPr>
            <w:tcW w:w="0" w:type="auto"/>
            <w:vAlign w:val="center"/>
          </w:tcPr>
          <w:p w14:paraId="417F7845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Odstęp sąsiednio-kanałowy</w:t>
            </w:r>
          </w:p>
        </w:tc>
        <w:tc>
          <w:tcPr>
            <w:tcW w:w="0" w:type="auto"/>
            <w:vAlign w:val="center"/>
          </w:tcPr>
          <w:p w14:paraId="5235B845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Aktywność nadajnika</w:t>
            </w:r>
          </w:p>
        </w:tc>
        <w:tc>
          <w:tcPr>
            <w:tcW w:w="0" w:type="auto"/>
            <w:vAlign w:val="center"/>
          </w:tcPr>
          <w:p w14:paraId="71EB1AA9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Uwagi</w:t>
            </w:r>
          </w:p>
        </w:tc>
      </w:tr>
      <w:tr w:rsidR="00303897" w:rsidRPr="00305EB8" w14:paraId="17503EED" w14:textId="77777777" w:rsidTr="00303897">
        <w:tc>
          <w:tcPr>
            <w:tcW w:w="0" w:type="auto"/>
            <w:vAlign w:val="center"/>
          </w:tcPr>
          <w:p w14:paraId="1139DB3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39AC80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100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Hz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–148 kHz</w:t>
            </w:r>
          </w:p>
        </w:tc>
        <w:tc>
          <w:tcPr>
            <w:tcW w:w="0" w:type="auto"/>
            <w:vAlign w:val="center"/>
          </w:tcPr>
          <w:p w14:paraId="13F9B87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46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dBμA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/m</w:t>
            </w:r>
          </w:p>
        </w:tc>
        <w:tc>
          <w:tcPr>
            <w:tcW w:w="0" w:type="auto"/>
            <w:vAlign w:val="center"/>
          </w:tcPr>
          <w:p w14:paraId="6E25D4E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C6502C0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A274403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natężenia pola magnetycznego mierzonego w odległości 10 m od urządzenia NMR dla częstotliwości 100 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Hz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>.</w:t>
            </w:r>
          </w:p>
          <w:p w14:paraId="1F68ECC7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Powyżej 100 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Hz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 xml:space="preserve"> natężenie pola magnetycznego maleje o 10 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dB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 xml:space="preserve"> na dekadę.</w:t>
            </w:r>
          </w:p>
        </w:tc>
      </w:tr>
      <w:tr w:rsidR="00303897" w:rsidRPr="00305EB8" w14:paraId="4B3143F3" w14:textId="77777777" w:rsidTr="00303897">
        <w:trPr>
          <w:trHeight w:val="1821"/>
        </w:trPr>
        <w:tc>
          <w:tcPr>
            <w:tcW w:w="0" w:type="auto"/>
            <w:vAlign w:val="center"/>
          </w:tcPr>
          <w:p w14:paraId="7C8AB92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0EDE9B4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148–5000 kHz</w:t>
            </w:r>
          </w:p>
        </w:tc>
        <w:tc>
          <w:tcPr>
            <w:tcW w:w="0" w:type="auto"/>
            <w:vAlign w:val="center"/>
          </w:tcPr>
          <w:p w14:paraId="722B84D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–15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dBμA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/m w odległości 10 m na zewnątrz urządzenia NMR</w:t>
            </w:r>
          </w:p>
        </w:tc>
        <w:tc>
          <w:tcPr>
            <w:tcW w:w="0" w:type="auto"/>
            <w:vAlign w:val="center"/>
          </w:tcPr>
          <w:p w14:paraId="0A932B75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4AF6DFC6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7BF39893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Dotyczy zastosowań NMR z systemem zamkniętym.</w:t>
            </w:r>
          </w:p>
        </w:tc>
      </w:tr>
      <w:tr w:rsidR="00303897" w:rsidRPr="00305EB8" w14:paraId="54BD27D0" w14:textId="77777777" w:rsidTr="00303897">
        <w:trPr>
          <w:trHeight w:val="1821"/>
        </w:trPr>
        <w:tc>
          <w:tcPr>
            <w:tcW w:w="0" w:type="auto"/>
            <w:vAlign w:val="center"/>
          </w:tcPr>
          <w:p w14:paraId="3C08A78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310CA1A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5000–30000 kHz</w:t>
            </w:r>
          </w:p>
        </w:tc>
        <w:tc>
          <w:tcPr>
            <w:tcW w:w="0" w:type="auto"/>
            <w:vAlign w:val="center"/>
          </w:tcPr>
          <w:p w14:paraId="26262748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–5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dBμA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/m w odległości 10 m na zewnątrz urządzenia NMR</w:t>
            </w:r>
          </w:p>
        </w:tc>
        <w:tc>
          <w:tcPr>
            <w:tcW w:w="0" w:type="auto"/>
            <w:vAlign w:val="center"/>
          </w:tcPr>
          <w:p w14:paraId="20BDB4D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28CFAB72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41F0FA3F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zastosowań NMR z systemem zamkniętym.</w:t>
            </w:r>
          </w:p>
        </w:tc>
      </w:tr>
      <w:tr w:rsidR="00303897" w:rsidRPr="00305EB8" w14:paraId="3C01BEA7" w14:textId="77777777" w:rsidTr="00303897">
        <w:trPr>
          <w:trHeight w:val="1821"/>
        </w:trPr>
        <w:tc>
          <w:tcPr>
            <w:tcW w:w="0" w:type="auto"/>
            <w:vAlign w:val="center"/>
          </w:tcPr>
          <w:p w14:paraId="77AD4A1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E00A4BB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30–130 MHz</w:t>
            </w:r>
          </w:p>
        </w:tc>
        <w:tc>
          <w:tcPr>
            <w:tcW w:w="0" w:type="auto"/>
            <w:vAlign w:val="center"/>
          </w:tcPr>
          <w:p w14:paraId="09BC795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–36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 na zewnątrz urządzenia NMR</w:t>
            </w:r>
          </w:p>
        </w:tc>
        <w:tc>
          <w:tcPr>
            <w:tcW w:w="0" w:type="auto"/>
            <w:vAlign w:val="center"/>
          </w:tcPr>
          <w:p w14:paraId="1E86FB0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B593D3F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698F5D78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zastosowań NMR z systemem zamkniętym.</w:t>
            </w:r>
          </w:p>
        </w:tc>
      </w:tr>
      <w:tr w:rsidR="00303897" w:rsidRPr="00305EB8" w14:paraId="0FEA1CD3" w14:textId="77777777" w:rsidTr="00303897">
        <w:tc>
          <w:tcPr>
            <w:tcW w:w="0" w:type="auto"/>
            <w:vAlign w:val="center"/>
          </w:tcPr>
          <w:p w14:paraId="29FBE26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3F28C20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30–12400 MHz</w:t>
            </w:r>
          </w:p>
        </w:tc>
        <w:tc>
          <w:tcPr>
            <w:tcW w:w="0" w:type="auto"/>
            <w:vAlign w:val="center"/>
          </w:tcPr>
          <w:p w14:paraId="19A7C2F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patrz decyzja</w:t>
            </w:r>
          </w:p>
          <w:p w14:paraId="53EF10F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ECC/DEC/(06)08</w:t>
            </w:r>
          </w:p>
        </w:tc>
        <w:tc>
          <w:tcPr>
            <w:tcW w:w="0" w:type="auto"/>
            <w:vAlign w:val="center"/>
          </w:tcPr>
          <w:p w14:paraId="156B878A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patrz decyzja</w:t>
            </w:r>
          </w:p>
          <w:p w14:paraId="593B7380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ECC/DEC/ (06)08</w:t>
            </w:r>
          </w:p>
        </w:tc>
        <w:tc>
          <w:tcPr>
            <w:tcW w:w="0" w:type="auto"/>
            <w:vAlign w:val="center"/>
          </w:tcPr>
          <w:p w14:paraId="58CAE272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patrz decyzja</w:t>
            </w:r>
          </w:p>
          <w:p w14:paraId="7A5E0D4C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ECC/DEC/ (06)08</w:t>
            </w:r>
          </w:p>
        </w:tc>
        <w:tc>
          <w:tcPr>
            <w:tcW w:w="0" w:type="auto"/>
            <w:vAlign w:val="center"/>
          </w:tcPr>
          <w:p w14:paraId="05310D4E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Dotyczy wyłącznie radarów do sondowania gruntu i ścian.</w:t>
            </w:r>
          </w:p>
          <w:p w14:paraId="45D82401" w14:textId="1A339B95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Dotyczy urządzeń spełniających </w:t>
            </w: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wymagania określone w normie</w:t>
            </w:r>
            <w:r w:rsidR="003D4108" w:rsidRPr="00305EB8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="005D62DE" w:rsidRPr="00305EB8">
              <w:rPr>
                <w:rFonts w:ascii="Times" w:hAnsi="Times" w:cs="Times"/>
                <w:sz w:val="24"/>
                <w:szCs w:val="24"/>
              </w:rPr>
              <w:t>PN-ETSI EN 302 066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063CA25B" w14:textId="77777777" w:rsidTr="00303897">
        <w:tc>
          <w:tcPr>
            <w:tcW w:w="0" w:type="auto"/>
            <w:vAlign w:val="center"/>
          </w:tcPr>
          <w:p w14:paraId="236071B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</w:tcPr>
          <w:p w14:paraId="45F65F2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6000–8500 MHz</w:t>
            </w:r>
          </w:p>
        </w:tc>
        <w:tc>
          <w:tcPr>
            <w:tcW w:w="0" w:type="auto"/>
            <w:vAlign w:val="center"/>
          </w:tcPr>
          <w:p w14:paraId="17AC47F0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7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/50 MHz mocy szczytowej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  <w:p w14:paraId="4750789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oraz</w:t>
            </w:r>
          </w:p>
          <w:p w14:paraId="752EE762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-33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/1 MHz mocy średniej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36F9317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A6A8FD5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51C93E1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Dotyczy gęstości mocy. Warunki wykorzystania dotyczą wyłącznie radaru sondującego poziom napełnienia.</w:t>
            </w:r>
          </w:p>
          <w:p w14:paraId="2461ECBE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Nie należy naruszać stref zamkniętych ustanowionych wokół obiektów radioastronomicznych.</w:t>
            </w:r>
            <w:r w:rsidRPr="00305EB8">
              <w:rPr>
                <w:rFonts w:ascii="Times" w:hAnsi="Times" w:cs="Times"/>
                <w:sz w:val="24"/>
                <w:szCs w:val="24"/>
              </w:rPr>
              <w:cr/>
              <w:t xml:space="preserve">Należy stosować automatyczne sterowanie mocą i wymogi dotyczące anteny, a także wymogi dotyczące techniki dostępu do widma oraz osłabiania szkodliwych zakłóceń, zapewniające odpowiednią skuteczność działania w celu spełnienia zasadniczych wymagań dyrektywy Parlamentu Europejskiego i Rady 2014/53/UE z dnia 16 kwietnia 2014 r. w sprawie harmonizacji ustawodawstw państw członkowskich dotyczących udostępniania na rynku urządzeń radiowych i uchylającej dyrektywę 1999/5/WE (Dz. Urz. UE L 153 z 22.05.2014, str. 62 i </w:t>
            </w: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Dz. Urz. UE L 212 z 22.08.2018, str. 1).</w:t>
            </w:r>
          </w:p>
          <w:p w14:paraId="5BC3EBDF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Jeżeli stosowne ograniczenia są określone w normach zharmonizowanych (lub ich częściach), do których odniesienia opublikowano w Dzienniku Urzędowym Unii Europejskiej na podstawie dyrektywy 2014/53/UE, zapewnia się skuteczność działania co najmniej równoważną tym ograniczeniom.</w:t>
            </w:r>
          </w:p>
        </w:tc>
      </w:tr>
      <w:tr w:rsidR="00303897" w:rsidRPr="00305EB8" w14:paraId="0D462192" w14:textId="77777777" w:rsidTr="00303897">
        <w:tc>
          <w:tcPr>
            <w:tcW w:w="0" w:type="auto"/>
            <w:vAlign w:val="center"/>
          </w:tcPr>
          <w:p w14:paraId="5F2D3674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14:paraId="648EDF3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9200–9500 MHz</w:t>
            </w:r>
          </w:p>
        </w:tc>
        <w:tc>
          <w:tcPr>
            <w:tcW w:w="0" w:type="auto"/>
            <w:vAlign w:val="center"/>
          </w:tcPr>
          <w:p w14:paraId="58167ACD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25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171F64B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C0283B2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47832598" w14:textId="0894B4F1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8E4734">
              <w:rPr>
                <w:rFonts w:ascii="Times" w:hAnsi="Times" w:cs="Times"/>
                <w:sz w:val="24"/>
                <w:szCs w:val="24"/>
              </w:rPr>
              <w:t>PN-ETSI EN 300 440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33BB6CEC" w14:textId="77777777" w:rsidTr="00303897">
        <w:tc>
          <w:tcPr>
            <w:tcW w:w="0" w:type="auto"/>
            <w:vAlign w:val="center"/>
          </w:tcPr>
          <w:p w14:paraId="5682A05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6C4E6D04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9500–9975 MHz</w:t>
            </w:r>
          </w:p>
        </w:tc>
        <w:tc>
          <w:tcPr>
            <w:tcW w:w="0" w:type="auto"/>
            <w:vAlign w:val="center"/>
          </w:tcPr>
          <w:p w14:paraId="17B927D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25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53B3B67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C62AA65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02FC593" w14:textId="0C022464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8E4734">
              <w:rPr>
                <w:rFonts w:ascii="Times" w:hAnsi="Times" w:cs="Times"/>
                <w:sz w:val="24"/>
                <w:szCs w:val="24"/>
              </w:rPr>
              <w:t>PN-ETSI EN 300 44</w:t>
            </w:r>
            <w:r w:rsidR="005D62DE" w:rsidRPr="00305EB8">
              <w:rPr>
                <w:rFonts w:ascii="Times" w:hAnsi="Times" w:cs="Times"/>
                <w:sz w:val="24"/>
                <w:szCs w:val="24"/>
              </w:rPr>
              <w:t>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2C38B8F4" w14:textId="77777777" w:rsidTr="00303897">
        <w:tc>
          <w:tcPr>
            <w:tcW w:w="0" w:type="auto"/>
            <w:vAlign w:val="center"/>
          </w:tcPr>
          <w:p w14:paraId="384E6F6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413A75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10,5–10,6 GHz</w:t>
            </w:r>
          </w:p>
        </w:tc>
        <w:tc>
          <w:tcPr>
            <w:tcW w:w="0" w:type="auto"/>
            <w:vAlign w:val="center"/>
          </w:tcPr>
          <w:p w14:paraId="7106A86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500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777CA1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991B20C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25684556" w14:textId="701A34A0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8E4734">
              <w:rPr>
                <w:rFonts w:ascii="Times" w:hAnsi="Times" w:cs="Times"/>
                <w:sz w:val="24"/>
                <w:szCs w:val="24"/>
              </w:rPr>
              <w:t>PN-ETSI EN 300 440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3A6D13D0" w14:textId="77777777" w:rsidTr="00303897">
        <w:tc>
          <w:tcPr>
            <w:tcW w:w="0" w:type="auto"/>
            <w:vAlign w:val="center"/>
          </w:tcPr>
          <w:p w14:paraId="171C31C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2FAE373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13,4–14,0 GHz</w:t>
            </w:r>
          </w:p>
        </w:tc>
        <w:tc>
          <w:tcPr>
            <w:tcW w:w="0" w:type="auto"/>
            <w:vAlign w:val="center"/>
          </w:tcPr>
          <w:p w14:paraId="498850D4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25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D91C2CA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2BEA76D5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5CDD8CBD" w14:textId="199BBC4E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8E4734">
              <w:rPr>
                <w:rFonts w:ascii="Times" w:hAnsi="Times" w:cs="Times"/>
                <w:sz w:val="24"/>
                <w:szCs w:val="24"/>
              </w:rPr>
              <w:t>PN-ETSI EN 300 440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50C05F4C" w14:textId="77777777" w:rsidTr="00303897">
        <w:tc>
          <w:tcPr>
            <w:tcW w:w="0" w:type="auto"/>
            <w:vAlign w:val="center"/>
          </w:tcPr>
          <w:p w14:paraId="059DF4A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14:paraId="17BF2ED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24,05–24,25 GHz</w:t>
            </w:r>
          </w:p>
        </w:tc>
        <w:tc>
          <w:tcPr>
            <w:tcW w:w="0" w:type="auto"/>
            <w:vAlign w:val="center"/>
          </w:tcPr>
          <w:p w14:paraId="1C75B4B8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100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AA2C7EA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1DC4A62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7B1E3411" w14:textId="6D2B14F2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8E4734">
              <w:rPr>
                <w:rFonts w:ascii="Times" w:hAnsi="Times" w:cs="Times"/>
                <w:sz w:val="24"/>
                <w:szCs w:val="24"/>
              </w:rPr>
              <w:t>PN-ETSI EN 300 440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5C5F4394" w14:textId="77777777" w:rsidTr="00303897">
        <w:tc>
          <w:tcPr>
            <w:tcW w:w="0" w:type="auto"/>
            <w:vAlign w:val="center"/>
          </w:tcPr>
          <w:p w14:paraId="7F14BF65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14:paraId="59FF8F4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24,05–26,5 GHz</w:t>
            </w:r>
          </w:p>
        </w:tc>
        <w:tc>
          <w:tcPr>
            <w:tcW w:w="0" w:type="auto"/>
            <w:vAlign w:val="center"/>
          </w:tcPr>
          <w:p w14:paraId="3C27C3B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26 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/50 MHz mocy szczytowej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. oraz </w:t>
            </w:r>
            <w:r w:rsidRPr="001A1292">
              <w:rPr>
                <w:rFonts w:ascii="Times" w:hAnsi="Times" w:cs="Times"/>
                <w:sz w:val="24"/>
                <w:szCs w:val="24"/>
              </w:rPr>
              <w:br/>
            </w:r>
            <w:r w:rsidRPr="001A1292">
              <w:rPr>
                <w:rFonts w:ascii="Times" w:hAnsi="Times" w:cs="Times"/>
                <w:sz w:val="24"/>
                <w:szCs w:val="24"/>
              </w:rPr>
              <w:noBreakHyphen/>
              <w:t>14 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/1 MHz </w:t>
            </w:r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 xml:space="preserve">mocy średniej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C8B730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>[-]</w:t>
            </w:r>
          </w:p>
        </w:tc>
        <w:tc>
          <w:tcPr>
            <w:tcW w:w="0" w:type="auto"/>
            <w:vAlign w:val="center"/>
          </w:tcPr>
          <w:p w14:paraId="6CC7EA6B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4C78EAC7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gęstości mocy. Warunki wyk</w:t>
            </w:r>
            <w:r w:rsidRPr="00305EB8">
              <w:rPr>
                <w:rFonts w:ascii="Times" w:hAnsi="Times" w:cs="Times"/>
                <w:sz w:val="24"/>
                <w:szCs w:val="24"/>
              </w:rPr>
              <w:t xml:space="preserve">orzystania dotyczą wyłącznie </w:t>
            </w: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radaru sondującego poziom napełnienia.</w:t>
            </w:r>
          </w:p>
          <w:p w14:paraId="55D3C150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Nie należy naruszać stref zamkniętych ustanowionych wokół obiektów radioastronomicznych.</w:t>
            </w:r>
          </w:p>
          <w:p w14:paraId="37ABFEEB" w14:textId="6B4E4661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Należy stosować automatyczne sterowanie mocą i wymogi dotyczące anteny, a także wymogi dotyczące techniki dostępu do widma oraz osłabiania szkodliwych zakłóceń, zapewniające odpowiednią skuteczność działania w celu spełnienia zasadniczych wymagań dyrektywy Parlamentu Europejskiego i Rady 2014/53/UE z dnia 16 kwietnia 2014 r. w sprawie harmonizacji ustawodawstw państw członkowskich dotyczących udostępniania na rynku urządzeń radiowych i uchylającej dyrektywę 1999/5/WE (Dz. Urz. UE L 153 z 22.05.2014, str. 62 i Dz. Urz. UE L 212 z 22.08.2018, str. 1). Jeżeli stosowne ograniczenia są określone w normach zharmonizowanych (lub ich częściach), </w:t>
            </w: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do których odniesienia opublikowano w Dzienniku Urzędowym Unii Europejskiej na podstawie dyrektywy 2014/53/UE, zapewnia się skuteczność działania co najmniej równoważną tym ograniczeniom.</w:t>
            </w:r>
          </w:p>
        </w:tc>
      </w:tr>
      <w:tr w:rsidR="00303897" w:rsidRPr="00305EB8" w14:paraId="5234FBC4" w14:textId="77777777" w:rsidTr="00303897">
        <w:trPr>
          <w:trHeight w:val="1821"/>
        </w:trPr>
        <w:tc>
          <w:tcPr>
            <w:tcW w:w="0" w:type="auto"/>
            <w:vAlign w:val="center"/>
          </w:tcPr>
          <w:p w14:paraId="4DB0662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vAlign w:val="center"/>
          </w:tcPr>
          <w:p w14:paraId="034C84E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75–85 GHz</w:t>
            </w:r>
          </w:p>
        </w:tc>
        <w:tc>
          <w:tcPr>
            <w:tcW w:w="0" w:type="auto"/>
            <w:vAlign w:val="center"/>
          </w:tcPr>
          <w:p w14:paraId="29940A88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34 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/50 MHz mocy szczytowej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. oraz </w:t>
            </w:r>
            <w:r w:rsidRPr="001A1292">
              <w:rPr>
                <w:rFonts w:ascii="Times" w:hAnsi="Times" w:cs="Times"/>
                <w:sz w:val="24"/>
                <w:szCs w:val="24"/>
              </w:rPr>
              <w:noBreakHyphen/>
              <w:t>3 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dBm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/1 MHz mocy średniej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F64D11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49B6F783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B423C5A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gęstości mocy. Warunki wykorzystania dotyczą wyłącznie radaru sondującego poziom napełnienia.</w:t>
            </w:r>
          </w:p>
          <w:p w14:paraId="0712016B" w14:textId="77777777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Nie należy naruszać stref zamkniętych ustanowionych wokół obiektów radioastronomicznych.</w:t>
            </w:r>
            <w:r w:rsidRPr="00305EB8">
              <w:rPr>
                <w:rFonts w:ascii="Times" w:hAnsi="Times" w:cs="Times"/>
                <w:sz w:val="24"/>
                <w:szCs w:val="24"/>
              </w:rPr>
              <w:cr/>
              <w:t xml:space="preserve">Należy stosować automatyczne sterowanie mocą i wymogi dotyczące anteny, a także wymogi dotyczące technik dostępu do widma oraz osłabiania zakłóceń, zapewniające odpowiednią skuteczność działania w celu spełnienia zasadniczych wymagań dyrektywy Parlamentu Europejskiego i Rady 2014/53/UE z dnia 16 kwietnia 2014 r. w sprawie harmonizacji ustawodawstw państw członkowskich dotyczących </w:t>
            </w: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udostępniania na rynku urządzeń radiowych i uchylającej dyrektywę 1999/5/WE (Dz. Urz. UE L 153 z 22.05.2014, str. 62 i Dz. Urz. UE L 212 z 22.08.2018, str. 1).</w:t>
            </w:r>
          </w:p>
          <w:p w14:paraId="58CD2C9A" w14:textId="77777777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Jeżeli stosowne ograniczenia są określone w normach zharmonizowanych (lub ich częściach), do których odniesienia opublikowano w Dzienniku Urzędowym Unii Europejskiej na podstawie dyrektywy 2014/53/UE, zapewnia się skuteczność działania co najmniej równoważną tym ograniczeniom.</w:t>
            </w:r>
          </w:p>
        </w:tc>
      </w:tr>
      <w:tr w:rsidR="00303897" w:rsidRPr="00305EB8" w14:paraId="4EE4E954" w14:textId="77777777" w:rsidTr="00303897">
        <w:trPr>
          <w:trHeight w:val="1821"/>
        </w:trPr>
        <w:tc>
          <w:tcPr>
            <w:tcW w:w="0" w:type="auto"/>
            <w:vAlign w:val="center"/>
          </w:tcPr>
          <w:p w14:paraId="55AB76A7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bookmarkStart w:id="5" w:name="_Hlk118288738"/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vAlign w:val="center"/>
          </w:tcPr>
          <w:p w14:paraId="2DF3C67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76-77 GHz</w:t>
            </w:r>
          </w:p>
        </w:tc>
        <w:tc>
          <w:tcPr>
            <w:tcW w:w="0" w:type="auto"/>
            <w:vAlign w:val="center"/>
          </w:tcPr>
          <w:p w14:paraId="7C110530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patrz decyzja ECC/DEC/(21)02</w:t>
            </w:r>
          </w:p>
        </w:tc>
        <w:tc>
          <w:tcPr>
            <w:tcW w:w="0" w:type="auto"/>
            <w:vAlign w:val="center"/>
          </w:tcPr>
          <w:p w14:paraId="3400F35B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patrz decyzja ECC/DEC/ (21)02</w:t>
            </w:r>
          </w:p>
        </w:tc>
        <w:tc>
          <w:tcPr>
            <w:tcW w:w="0" w:type="auto"/>
            <w:vAlign w:val="center"/>
          </w:tcPr>
          <w:p w14:paraId="2384B9B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patrz decyzja ECC/DEC/ (21)02</w:t>
            </w:r>
          </w:p>
        </w:tc>
        <w:tc>
          <w:tcPr>
            <w:tcW w:w="0" w:type="auto"/>
            <w:vAlign w:val="center"/>
          </w:tcPr>
          <w:p w14:paraId="35D531D1" w14:textId="2ECE2F54" w:rsidR="00303897" w:rsidRPr="001A1292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Strefy wykluczenia wokół obserwatoriów radioastronomicznych oraz stosowanie systemu DAA (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Detect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 xml:space="preserve"> and 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Avoid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>) są wymagane tylko w przypadku stosowania HD-GBSAR na zewnątrz budynków.</w:t>
            </w:r>
            <w:r w:rsidR="0063207C" w:rsidRPr="00305EB8">
              <w:rPr>
                <w:rFonts w:ascii="Times" w:hAnsi="Times" w:cs="Times"/>
              </w:rPr>
              <w:t>”.</w:t>
            </w:r>
          </w:p>
        </w:tc>
      </w:tr>
      <w:bookmarkEnd w:id="5"/>
    </w:tbl>
    <w:p w14:paraId="3ED82384" w14:textId="77777777" w:rsidR="00303897" w:rsidRPr="001A1292" w:rsidRDefault="00303897" w:rsidP="003435D4">
      <w:pPr>
        <w:pStyle w:val="NAZORGWYDnazwaorganuwydajcegoprojektowanyakt"/>
        <w:rPr>
          <w:rFonts w:cs="Times"/>
        </w:rPr>
      </w:pPr>
    </w:p>
    <w:p w14:paraId="04D75D4B" w14:textId="3450E4AC" w:rsidR="00303897" w:rsidRPr="00305EB8" w:rsidRDefault="00303897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br w:type="column"/>
      </w:r>
      <w:r w:rsidRPr="00305EB8">
        <w:rPr>
          <w:rFonts w:ascii="Times" w:hAnsi="Times" w:cs="Times"/>
        </w:rPr>
        <w:lastRenderedPageBreak/>
        <w:t>Załącznik nr 3</w:t>
      </w:r>
    </w:p>
    <w:p w14:paraId="1C8FFC21" w14:textId="5BD7C35A" w:rsidR="0063207C" w:rsidRPr="00305EB8" w:rsidRDefault="0063207C" w:rsidP="0063207C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t>„Załącznik nr 5</w:t>
      </w:r>
    </w:p>
    <w:p w14:paraId="1E6179F2" w14:textId="77777777" w:rsidR="0063207C" w:rsidRPr="00305EB8" w:rsidRDefault="0063207C" w:rsidP="008A40E9">
      <w:pPr>
        <w:pStyle w:val="OZNZACZNIKAwskazanienrzacznika"/>
        <w:rPr>
          <w:rFonts w:ascii="Times" w:hAnsi="Times" w:cs="Times"/>
        </w:rPr>
      </w:pPr>
    </w:p>
    <w:p w14:paraId="5522ADA8" w14:textId="77777777" w:rsidR="00303897" w:rsidRPr="001A1292" w:rsidRDefault="00303897" w:rsidP="008A40E9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1A1292">
        <w:rPr>
          <w:rStyle w:val="Ppogrubienie"/>
          <w:rFonts w:ascii="Times" w:hAnsi="Times" w:cs="Times"/>
          <w:sz w:val="24"/>
          <w:szCs w:val="24"/>
        </w:rPr>
        <w:t>URZĄDZENIA BLISKIEGO ZASIĘGU DO STEROWANIA MODELAMI</w:t>
      </w:r>
    </w:p>
    <w:p w14:paraId="2E6CF4B4" w14:textId="77777777" w:rsidR="008A40E9" w:rsidRPr="001A1292" w:rsidRDefault="008A40E9" w:rsidP="008A40E9">
      <w:pPr>
        <w:jc w:val="center"/>
        <w:rPr>
          <w:rStyle w:val="Ppogrubienie"/>
          <w:rFonts w:ascii="Times" w:hAnsi="Times" w:cs="Time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596"/>
        <w:gridCol w:w="1900"/>
        <w:gridCol w:w="1180"/>
        <w:gridCol w:w="1273"/>
        <w:gridCol w:w="2534"/>
      </w:tblGrid>
      <w:tr w:rsidR="00DD245F" w:rsidRPr="00305EB8" w14:paraId="6B7A2452" w14:textId="77777777" w:rsidTr="008A40E9">
        <w:tc>
          <w:tcPr>
            <w:tcW w:w="0" w:type="auto"/>
            <w:vAlign w:val="center"/>
          </w:tcPr>
          <w:p w14:paraId="24F45BB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4D6FF39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lub częstotliwość</w:t>
            </w:r>
          </w:p>
        </w:tc>
        <w:tc>
          <w:tcPr>
            <w:tcW w:w="0" w:type="auto"/>
            <w:vAlign w:val="center"/>
          </w:tcPr>
          <w:p w14:paraId="5ADFEB53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Maksymalna moc promieniowana lub maksymalne natężenie pola </w:t>
            </w:r>
            <w:r w:rsidRPr="008E4734">
              <w:rPr>
                <w:rFonts w:ascii="Times" w:hAnsi="Times" w:cs="Times"/>
                <w:sz w:val="24"/>
                <w:szCs w:val="24"/>
              </w:rPr>
              <w:t>magnetycznego</w:t>
            </w:r>
          </w:p>
        </w:tc>
        <w:tc>
          <w:tcPr>
            <w:tcW w:w="0" w:type="auto"/>
            <w:vAlign w:val="center"/>
          </w:tcPr>
          <w:p w14:paraId="5B53AD56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Odstęp sąsiednio-kanałowy</w:t>
            </w:r>
          </w:p>
        </w:tc>
        <w:tc>
          <w:tcPr>
            <w:tcW w:w="0" w:type="auto"/>
            <w:vAlign w:val="center"/>
          </w:tcPr>
          <w:p w14:paraId="342DA272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Aktywność nadajnika</w:t>
            </w:r>
          </w:p>
        </w:tc>
        <w:tc>
          <w:tcPr>
            <w:tcW w:w="0" w:type="auto"/>
            <w:vAlign w:val="center"/>
          </w:tcPr>
          <w:p w14:paraId="55BDBFF6" w14:textId="77777777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Uwagi</w:t>
            </w:r>
          </w:p>
        </w:tc>
      </w:tr>
      <w:tr w:rsidR="00DD245F" w:rsidRPr="00305EB8" w14:paraId="5F92838C" w14:textId="77777777" w:rsidTr="008A40E9">
        <w:tc>
          <w:tcPr>
            <w:tcW w:w="0" w:type="auto"/>
            <w:vAlign w:val="center"/>
          </w:tcPr>
          <w:p w14:paraId="47D04377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BB918C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34,995–35,225 MHz</w:t>
            </w:r>
          </w:p>
        </w:tc>
        <w:tc>
          <w:tcPr>
            <w:tcW w:w="0" w:type="auto"/>
            <w:vAlign w:val="center"/>
          </w:tcPr>
          <w:p w14:paraId="26F951E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100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5C703A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 kHz</w:t>
            </w:r>
          </w:p>
        </w:tc>
        <w:tc>
          <w:tcPr>
            <w:tcW w:w="0" w:type="auto"/>
            <w:vAlign w:val="center"/>
          </w:tcPr>
          <w:p w14:paraId="7EE4BCA4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2825D3A5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sterowania modelami latającymi.</w:t>
            </w:r>
          </w:p>
          <w:p w14:paraId="4E35225A" w14:textId="77777777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Dotyczy urządzeń z antenami dedykowanymi.</w:t>
            </w:r>
          </w:p>
          <w:p w14:paraId="6773C67C" w14:textId="38C04572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305EB8">
              <w:rPr>
                <w:rFonts w:ascii="Times" w:hAnsi="Times" w:cs="Times"/>
                <w:sz w:val="24"/>
                <w:szCs w:val="24"/>
              </w:rPr>
              <w:t>PN-ETSI EN 300 220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DD245F" w:rsidRPr="00305EB8" w14:paraId="3ED117F1" w14:textId="77777777" w:rsidTr="008A40E9">
        <w:tc>
          <w:tcPr>
            <w:tcW w:w="0" w:type="auto"/>
            <w:vAlign w:val="center"/>
          </w:tcPr>
          <w:p w14:paraId="12CD7F68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09D81AF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40,665 MHz; </w:t>
            </w:r>
          </w:p>
          <w:p w14:paraId="65850CA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40,675 MHz; </w:t>
            </w:r>
          </w:p>
          <w:p w14:paraId="3C43936D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40,685 MHz; </w:t>
            </w:r>
          </w:p>
          <w:p w14:paraId="077B82E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40,695 MHz  </w:t>
            </w:r>
          </w:p>
        </w:tc>
        <w:tc>
          <w:tcPr>
            <w:tcW w:w="0" w:type="auto"/>
            <w:vAlign w:val="center"/>
          </w:tcPr>
          <w:p w14:paraId="2858DA1D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100 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8E4734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8E4734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3B46558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10 kHz</w:t>
            </w:r>
          </w:p>
        </w:tc>
        <w:tc>
          <w:tcPr>
            <w:tcW w:w="0" w:type="auto"/>
            <w:vAlign w:val="center"/>
          </w:tcPr>
          <w:p w14:paraId="6AA0E6DD" w14:textId="77777777" w:rsidR="00303897" w:rsidRPr="00305EB8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9C59CE7" w14:textId="77777777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Dotyczy urządzeń z antenami dedykowanymi.</w:t>
            </w:r>
          </w:p>
          <w:p w14:paraId="6D2123FB" w14:textId="64DB9DD3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5D62DE" w:rsidRPr="00305EB8">
              <w:rPr>
                <w:rFonts w:ascii="Times" w:hAnsi="Times" w:cs="Times"/>
                <w:sz w:val="24"/>
                <w:szCs w:val="24"/>
              </w:rPr>
              <w:t>PN-ETSI EN 300 220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  <w:p w14:paraId="2B6E3AC3" w14:textId="36FA88E6" w:rsidR="00303897" w:rsidRPr="001A1292" w:rsidRDefault="00303897" w:rsidP="00FF39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Częstotliwości są przeznaczone również dla urządzeń ISM. Urządzenia pracujące na tych częstotliwościach </w:t>
            </w:r>
            <w:r w:rsidR="00DD245F" w:rsidRPr="00305EB8">
              <w:rPr>
                <w:rFonts w:ascii="Times" w:hAnsi="Times" w:cs="Times"/>
                <w:sz w:val="24"/>
                <w:szCs w:val="24"/>
              </w:rPr>
              <w:t>muszą akceptować</w:t>
            </w:r>
            <w:r w:rsidRPr="001A1292">
              <w:rPr>
                <w:rFonts w:ascii="Times" w:hAnsi="Times" w:cs="Times"/>
                <w:sz w:val="24"/>
                <w:szCs w:val="24"/>
              </w:rPr>
              <w:t xml:space="preserve"> szkodliwe zakłócenia, jakich mogą doznać podczas pracy urządzeń ISM.</w:t>
            </w:r>
            <w:r w:rsidR="0063207C" w:rsidRPr="00305EB8">
              <w:rPr>
                <w:rFonts w:ascii="Times" w:hAnsi="Times" w:cs="Times"/>
              </w:rPr>
              <w:t>”.</w:t>
            </w:r>
          </w:p>
        </w:tc>
      </w:tr>
    </w:tbl>
    <w:p w14:paraId="76904EDD" w14:textId="77777777" w:rsidR="00303897" w:rsidRPr="00305EB8" w:rsidRDefault="00303897" w:rsidP="00303897">
      <w:pPr>
        <w:rPr>
          <w:rFonts w:ascii="Times" w:hAnsi="Times" w:cs="Times"/>
        </w:rPr>
      </w:pPr>
    </w:p>
    <w:p w14:paraId="192E7E15" w14:textId="77777777" w:rsidR="00303897" w:rsidRPr="00305EB8" w:rsidRDefault="00303897" w:rsidP="00303897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27A7A09B" w14:textId="1FE989FA" w:rsidR="00303897" w:rsidRPr="00305EB8" w:rsidRDefault="00303897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>Załącznik nr 4</w:t>
      </w:r>
    </w:p>
    <w:p w14:paraId="21760119" w14:textId="28AC7F04" w:rsidR="0063207C" w:rsidRPr="00305EB8" w:rsidRDefault="0063207C" w:rsidP="0063207C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t>„Załącznik nr 6</w:t>
      </w:r>
    </w:p>
    <w:p w14:paraId="5D5F05FF" w14:textId="77777777" w:rsidR="0063207C" w:rsidRPr="00305EB8" w:rsidRDefault="0063207C" w:rsidP="008A40E9">
      <w:pPr>
        <w:pStyle w:val="OZNZACZNIKAwskazanienrzacznika"/>
        <w:rPr>
          <w:rFonts w:ascii="Times" w:hAnsi="Times" w:cs="Times"/>
        </w:rPr>
      </w:pPr>
    </w:p>
    <w:p w14:paraId="64C91DE4" w14:textId="77777777" w:rsidR="00303897" w:rsidRPr="001A1292" w:rsidRDefault="00303897" w:rsidP="008A40E9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1A1292">
        <w:rPr>
          <w:rStyle w:val="Ppogrubienie"/>
          <w:rFonts w:ascii="Times" w:hAnsi="Times" w:cs="Times"/>
          <w:sz w:val="24"/>
          <w:szCs w:val="24"/>
        </w:rPr>
        <w:t>URZĄDZENIA BLISKIEGO ZASIĘGU NA POTRZEBY MIKROFONÓW BEZPRZEWODOWYCH, URZĄDZEŃ WSPOMAGAJĄCYCH SŁUCH I URZĄDZEŃ BEZPRZEWODOWYCH DO TRANSMISJI SYGNAŁÓW AKUSTYCZNYCH</w:t>
      </w:r>
    </w:p>
    <w:p w14:paraId="128CADE4" w14:textId="77777777" w:rsidR="008A40E9" w:rsidRPr="001A1292" w:rsidRDefault="008A40E9" w:rsidP="008A40E9">
      <w:pPr>
        <w:jc w:val="center"/>
        <w:rPr>
          <w:rStyle w:val="Ppogrubienie"/>
          <w:rFonts w:ascii="Times" w:hAnsi="Times" w:cs="Time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1525"/>
        <w:gridCol w:w="1868"/>
        <w:gridCol w:w="1172"/>
        <w:gridCol w:w="1268"/>
        <w:gridCol w:w="2651"/>
      </w:tblGrid>
      <w:tr w:rsidR="00303897" w:rsidRPr="00305EB8" w14:paraId="129CA6C7" w14:textId="77777777" w:rsidTr="008A40E9">
        <w:tc>
          <w:tcPr>
            <w:tcW w:w="0" w:type="auto"/>
            <w:vAlign w:val="center"/>
          </w:tcPr>
          <w:p w14:paraId="39F7B32F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6EA1E41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</w:t>
            </w:r>
          </w:p>
        </w:tc>
        <w:tc>
          <w:tcPr>
            <w:tcW w:w="0" w:type="auto"/>
            <w:vAlign w:val="center"/>
          </w:tcPr>
          <w:p w14:paraId="53B94F21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Maksymalna moc promieniowana lub maksymalne natężenie pola magnetycznego</w:t>
            </w:r>
          </w:p>
        </w:tc>
        <w:tc>
          <w:tcPr>
            <w:tcW w:w="0" w:type="auto"/>
            <w:vAlign w:val="center"/>
          </w:tcPr>
          <w:p w14:paraId="071D8520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Odstęp sąsiednio-kanałowy</w:t>
            </w:r>
          </w:p>
        </w:tc>
        <w:tc>
          <w:tcPr>
            <w:tcW w:w="0" w:type="auto"/>
            <w:vAlign w:val="center"/>
          </w:tcPr>
          <w:p w14:paraId="1288D1D4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Aktywność nadajnika</w:t>
            </w:r>
          </w:p>
        </w:tc>
        <w:tc>
          <w:tcPr>
            <w:tcW w:w="0" w:type="auto"/>
            <w:vAlign w:val="center"/>
          </w:tcPr>
          <w:p w14:paraId="25E66425" w14:textId="77777777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Uwagi</w:t>
            </w:r>
          </w:p>
        </w:tc>
      </w:tr>
      <w:tr w:rsidR="00303897" w:rsidRPr="00305EB8" w14:paraId="2DAD4368" w14:textId="77777777" w:rsidTr="008A40E9">
        <w:tc>
          <w:tcPr>
            <w:tcW w:w="0" w:type="auto"/>
            <w:vAlign w:val="center"/>
          </w:tcPr>
          <w:p w14:paraId="1EB6D0C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74036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100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Hz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–9 kHz</w:t>
            </w:r>
          </w:p>
        </w:tc>
        <w:tc>
          <w:tcPr>
            <w:tcW w:w="0" w:type="auto"/>
            <w:vAlign w:val="center"/>
          </w:tcPr>
          <w:p w14:paraId="0BB3B7ED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120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dBμA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/m w odległości 10 m od urządzenia</w:t>
            </w:r>
          </w:p>
        </w:tc>
        <w:tc>
          <w:tcPr>
            <w:tcW w:w="0" w:type="auto"/>
            <w:vAlign w:val="center"/>
          </w:tcPr>
          <w:p w14:paraId="08A3BE57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CC9CEC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50E3A20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systemów pętli indukcyjnych stosowanych w systemach pomocy osobom niedosłyszącym.</w:t>
            </w:r>
          </w:p>
          <w:p w14:paraId="7DD8C04D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Maksymalny rozmiar anteny nie może przekraczać 1/20 λ.</w:t>
            </w:r>
          </w:p>
          <w:p w14:paraId="7F5652A3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Rozmiar anteny jest określany poprzez maksymalną odległość pomiędzy dwoma dowolnymi punktami umieszczonymi na antenie (np. dla anteny w kształcie prostokąta jest to przekątna, a dla anteny w kształcie koła jest to średnica).</w:t>
            </w:r>
          </w:p>
        </w:tc>
      </w:tr>
      <w:tr w:rsidR="00303897" w:rsidRPr="00305EB8" w14:paraId="60580168" w14:textId="77777777" w:rsidTr="008A40E9">
        <w:tc>
          <w:tcPr>
            <w:tcW w:w="0" w:type="auto"/>
            <w:vAlign w:val="center"/>
          </w:tcPr>
          <w:p w14:paraId="6AFFC0E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0991D4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29,7–47,0 MHz</w:t>
            </w:r>
          </w:p>
        </w:tc>
        <w:tc>
          <w:tcPr>
            <w:tcW w:w="0" w:type="auto"/>
            <w:vAlign w:val="center"/>
          </w:tcPr>
          <w:p w14:paraId="3D04732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EC3451C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≤50 kHz</w:t>
            </w:r>
          </w:p>
        </w:tc>
        <w:tc>
          <w:tcPr>
            <w:tcW w:w="0" w:type="auto"/>
            <w:vAlign w:val="center"/>
          </w:tcPr>
          <w:p w14:paraId="543F331D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1798C7C3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mikrofonów bezprzewodowych z dostrajaniem zakresu pracy.</w:t>
            </w:r>
          </w:p>
          <w:p w14:paraId="5B3450B7" w14:textId="0D3A503F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C43BAA" w:rsidRPr="00305EB8">
              <w:rPr>
                <w:rFonts w:ascii="Times" w:hAnsi="Times" w:cs="Times"/>
                <w:sz w:val="24"/>
                <w:szCs w:val="24"/>
              </w:rPr>
              <w:t>PN-ETSI EN 300 422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  <w:p w14:paraId="01096443" w14:textId="11253D95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Podzakres 40,66-40,70 MHz przeznaczony jest również dla urządzeń ISM. Urządzenia pracujące w tym podzakresie </w:t>
            </w:r>
            <w:r w:rsidR="00C43BAA" w:rsidRPr="00305EB8">
              <w:rPr>
                <w:rFonts w:ascii="Times" w:hAnsi="Times" w:cs="Times"/>
                <w:sz w:val="24"/>
                <w:szCs w:val="24"/>
              </w:rPr>
              <w:t>muszą</w:t>
            </w:r>
            <w:r w:rsidRPr="00305EB8">
              <w:rPr>
                <w:rFonts w:ascii="Times" w:hAnsi="Times" w:cs="Times"/>
                <w:sz w:val="24"/>
                <w:szCs w:val="24"/>
              </w:rPr>
              <w:t xml:space="preserve"> akceptować szkodliwe zakłócenia, jakich mogą </w:t>
            </w: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doznać podczas pracy urządzeń ISM.</w:t>
            </w:r>
          </w:p>
        </w:tc>
      </w:tr>
      <w:tr w:rsidR="00303897" w:rsidRPr="00305EB8" w14:paraId="0D1072A6" w14:textId="77777777" w:rsidTr="008A40E9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B3ACCE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D44C6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169,4–172,0 MHz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0830C7E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82FCCA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≤ 50 kHz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28A201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DBEB4A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urządzeń wspomagających słuch.</w:t>
            </w:r>
          </w:p>
          <w:p w14:paraId="5EDE3126" w14:textId="21EB3372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C43BAA" w:rsidRPr="008E4734">
              <w:rPr>
                <w:rFonts w:ascii="Times" w:hAnsi="Times" w:cs="Times"/>
                <w:sz w:val="24"/>
                <w:szCs w:val="24"/>
              </w:rPr>
              <w:t>PN-ETSI EN 300 422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49070F69" w14:textId="77777777" w:rsidTr="008A40E9">
        <w:tc>
          <w:tcPr>
            <w:tcW w:w="0" w:type="auto"/>
            <w:vAlign w:val="center"/>
          </w:tcPr>
          <w:p w14:paraId="4B0AF6BD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EA87F7B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174 –216 MHz</w:t>
            </w:r>
          </w:p>
        </w:tc>
        <w:tc>
          <w:tcPr>
            <w:tcW w:w="0" w:type="auto"/>
            <w:vAlign w:val="center"/>
          </w:tcPr>
          <w:p w14:paraId="212F952F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97AFD8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3E5CC22A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7919FDA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mikrofonów bezprzewodowych z dostrajaniem zakresu pracy.</w:t>
            </w:r>
          </w:p>
          <w:p w14:paraId="78AE1275" w14:textId="392CF403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C43BAA" w:rsidRPr="008E4734">
              <w:rPr>
                <w:rFonts w:ascii="Times" w:hAnsi="Times" w:cs="Times"/>
                <w:sz w:val="24"/>
                <w:szCs w:val="24"/>
              </w:rPr>
              <w:t>PN-ETSI EN 300 422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60EF2550" w14:textId="77777777" w:rsidTr="008A40E9">
        <w:tc>
          <w:tcPr>
            <w:tcW w:w="0" w:type="auto"/>
            <w:vAlign w:val="center"/>
          </w:tcPr>
          <w:p w14:paraId="2EE7013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6F258AAB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470–694 MHz</w:t>
            </w:r>
          </w:p>
        </w:tc>
        <w:tc>
          <w:tcPr>
            <w:tcW w:w="0" w:type="auto"/>
            <w:vAlign w:val="center"/>
          </w:tcPr>
          <w:p w14:paraId="0E45A21C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068B38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6BBB69ED" w14:textId="77777777" w:rsidR="00303897" w:rsidRPr="008E4734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FDB91ED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mikrofonów bezprzewodowych z dostrajaniem zakresu pracy.</w:t>
            </w:r>
          </w:p>
          <w:p w14:paraId="7579E911" w14:textId="064A0854" w:rsidR="00303897" w:rsidRPr="00305EB8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C43BAA" w:rsidRPr="00305EB8">
              <w:rPr>
                <w:rFonts w:ascii="Times" w:hAnsi="Times" w:cs="Times"/>
                <w:sz w:val="24"/>
                <w:szCs w:val="24"/>
              </w:rPr>
              <w:t>PN-ETSI EN 300 422</w:t>
            </w:r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6A323610" w14:textId="77777777" w:rsidTr="008A40E9">
        <w:tc>
          <w:tcPr>
            <w:tcW w:w="0" w:type="auto"/>
            <w:vAlign w:val="center"/>
          </w:tcPr>
          <w:p w14:paraId="51775CE1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B331660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694-698 MHz</w:t>
            </w:r>
          </w:p>
        </w:tc>
        <w:tc>
          <w:tcPr>
            <w:tcW w:w="0" w:type="auto"/>
            <w:vAlign w:val="center"/>
          </w:tcPr>
          <w:p w14:paraId="21EE5DA2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08AD3F6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78F2627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05B8C18F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mikrofonów bezprzewodowych z dostrajaniem zakresu pracy.</w:t>
            </w:r>
          </w:p>
          <w:p w14:paraId="1BE63955" w14:textId="4696940C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C43BAA" w:rsidRPr="008E4734">
              <w:rPr>
                <w:rFonts w:ascii="Times" w:hAnsi="Times" w:cs="Times"/>
                <w:sz w:val="24"/>
                <w:szCs w:val="24"/>
              </w:rPr>
              <w:t>PN-ETSI EN 300 422</w:t>
            </w:r>
            <w:r w:rsidRPr="008E4734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303897" w:rsidRPr="00305EB8" w14:paraId="48490EF0" w14:textId="77777777" w:rsidTr="008A40E9">
        <w:tc>
          <w:tcPr>
            <w:tcW w:w="0" w:type="auto"/>
            <w:vAlign w:val="center"/>
          </w:tcPr>
          <w:p w14:paraId="2350E8E5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72034DF0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736-738 MHz</w:t>
            </w:r>
          </w:p>
        </w:tc>
        <w:tc>
          <w:tcPr>
            <w:tcW w:w="0" w:type="auto"/>
            <w:vAlign w:val="center"/>
          </w:tcPr>
          <w:p w14:paraId="03D1EB99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50 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mW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748065B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11288643" w14:textId="77777777" w:rsidR="00303897" w:rsidRPr="001A1292" w:rsidRDefault="00303897" w:rsidP="00303897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  <w:tc>
          <w:tcPr>
            <w:tcW w:w="0" w:type="auto"/>
            <w:vAlign w:val="center"/>
          </w:tcPr>
          <w:p w14:paraId="5AB36A77" w14:textId="77777777" w:rsidR="00303897" w:rsidRPr="008E4734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Dotyczy mikrofonów bezprzewodowych z dostrajaniem zakresu pracy.</w:t>
            </w:r>
          </w:p>
          <w:p w14:paraId="300844ED" w14:textId="1E0E052F" w:rsidR="00303897" w:rsidRPr="001A1292" w:rsidRDefault="00303897" w:rsidP="008A40E9">
            <w:pPr>
              <w:jc w:val="left"/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 xml:space="preserve">Dotyczy urządzeń spełniających wymagania określone w normie </w:t>
            </w:r>
            <w:r w:rsidR="00C43BAA" w:rsidRPr="008E4734">
              <w:rPr>
                <w:rFonts w:ascii="Times" w:hAnsi="Times" w:cs="Times"/>
                <w:sz w:val="24"/>
                <w:szCs w:val="24"/>
              </w:rPr>
              <w:t>PN-ETSI EN 300 422</w:t>
            </w:r>
            <w:r w:rsidRPr="008E4734">
              <w:rPr>
                <w:rFonts w:ascii="Times" w:hAnsi="Times" w:cs="Times"/>
                <w:sz w:val="24"/>
                <w:szCs w:val="24"/>
              </w:rPr>
              <w:t>.</w:t>
            </w:r>
            <w:r w:rsidR="0063207C" w:rsidRPr="00305EB8">
              <w:rPr>
                <w:rFonts w:ascii="Times" w:hAnsi="Times" w:cs="Times"/>
              </w:rPr>
              <w:t>”.</w:t>
            </w:r>
          </w:p>
        </w:tc>
      </w:tr>
    </w:tbl>
    <w:p w14:paraId="35CEFB09" w14:textId="77777777" w:rsidR="00303897" w:rsidRPr="00305EB8" w:rsidRDefault="00303897" w:rsidP="00303897">
      <w:pPr>
        <w:rPr>
          <w:rFonts w:ascii="Times" w:hAnsi="Times" w:cs="Times"/>
        </w:rPr>
      </w:pPr>
    </w:p>
    <w:p w14:paraId="608146AF" w14:textId="276DF556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br w:type="column"/>
      </w:r>
      <w:r w:rsidRPr="00305EB8">
        <w:rPr>
          <w:rFonts w:ascii="Times" w:hAnsi="Times" w:cs="Times"/>
        </w:rPr>
        <w:lastRenderedPageBreak/>
        <w:t>Załącznik nr 5</w:t>
      </w:r>
    </w:p>
    <w:p w14:paraId="330D048B" w14:textId="70F69FA5" w:rsidR="0063207C" w:rsidRPr="00305EB8" w:rsidRDefault="0063207C" w:rsidP="0063207C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t>„Załącznik nr 12</w:t>
      </w:r>
    </w:p>
    <w:p w14:paraId="4069B9E3" w14:textId="77777777" w:rsidR="0063207C" w:rsidRPr="00305EB8" w:rsidRDefault="0063207C" w:rsidP="008A40E9">
      <w:pPr>
        <w:pStyle w:val="OZNZACZNIKAwskazanienrzacznika"/>
        <w:rPr>
          <w:rFonts w:ascii="Times" w:hAnsi="Times" w:cs="Times"/>
        </w:rPr>
      </w:pPr>
    </w:p>
    <w:p w14:paraId="5A818D2D" w14:textId="77777777" w:rsidR="008A40E9" w:rsidRPr="001A1292" w:rsidRDefault="008A40E9" w:rsidP="008A40E9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RODZAJE URZĄDZEŃ ZIEMSKICH STACJI SATELITARNYCH</w:t>
      </w:r>
    </w:p>
    <w:p w14:paraId="3711DCE0" w14:textId="77777777" w:rsidR="00B770F3" w:rsidRPr="001A1292" w:rsidRDefault="00B770F3" w:rsidP="008A40E9">
      <w:pPr>
        <w:jc w:val="center"/>
        <w:rPr>
          <w:rStyle w:val="Ppogrubienie"/>
          <w:rFonts w:ascii="Times" w:hAnsi="Times" w:cs="Times"/>
          <w:sz w:val="24"/>
        </w:rPr>
      </w:pPr>
    </w:p>
    <w:p w14:paraId="43535BEF" w14:textId="77777777" w:rsidR="008A40E9" w:rsidRPr="001A1292" w:rsidRDefault="00B770F3" w:rsidP="00B770F3">
      <w:pPr>
        <w:pStyle w:val="NIEARTTEKSTtekstnieartykuowanynppodstprawnarozplubpreambua"/>
        <w:rPr>
          <w:rFonts w:cs="Times"/>
        </w:rPr>
      </w:pPr>
      <w:r w:rsidRPr="001A1292">
        <w:rPr>
          <w:rFonts w:cs="Times"/>
        </w:rPr>
        <w:t xml:space="preserve">1. </w:t>
      </w:r>
      <w:r w:rsidRPr="001A1292">
        <w:rPr>
          <w:rFonts w:cs="Times"/>
        </w:rPr>
        <w:tab/>
      </w:r>
      <w:r w:rsidR="008A40E9" w:rsidRPr="001A1292">
        <w:rPr>
          <w:rFonts w:cs="Times"/>
        </w:rPr>
        <w:t>Określa się następujące rodzaje ziemskich stacji satelitarnych, których używanie nie wymaga uzyskania pozwolenia:</w:t>
      </w:r>
    </w:p>
    <w:p w14:paraId="0204B12C" w14:textId="2A937A2B" w:rsidR="008A40E9" w:rsidRPr="00305EB8" w:rsidRDefault="007C0FE9" w:rsidP="00B770F3">
      <w:pPr>
        <w:pStyle w:val="PKTpunkt"/>
        <w:rPr>
          <w:rFonts w:cs="Times"/>
          <w:lang w:val="en-US"/>
        </w:rPr>
      </w:pPr>
      <w:r w:rsidRPr="001A1292">
        <w:rPr>
          <w:rFonts w:cs="Times"/>
          <w:lang w:val="en-US"/>
        </w:rPr>
        <w:t>1</w:t>
      </w:r>
      <w:r w:rsidR="00B770F3" w:rsidRPr="001A1292">
        <w:rPr>
          <w:rFonts w:cs="Times"/>
          <w:lang w:val="en-US"/>
        </w:rPr>
        <w:t xml:space="preserve">) </w:t>
      </w:r>
      <w:r w:rsidR="00B770F3" w:rsidRPr="001A1292">
        <w:rPr>
          <w:rFonts w:cs="Times"/>
          <w:lang w:val="en-US"/>
        </w:rPr>
        <w:tab/>
      </w:r>
      <w:proofErr w:type="spellStart"/>
      <w:r w:rsidR="008A40E9" w:rsidRPr="008E4734">
        <w:rPr>
          <w:rFonts w:cs="Times"/>
          <w:lang w:val="en-US"/>
        </w:rPr>
        <w:t>typu</w:t>
      </w:r>
      <w:proofErr w:type="spellEnd"/>
      <w:r w:rsidR="008A40E9" w:rsidRPr="008E4734">
        <w:rPr>
          <w:rFonts w:cs="Times"/>
          <w:lang w:val="en-US"/>
        </w:rPr>
        <w:t xml:space="preserve"> HEST, </w:t>
      </w:r>
      <w:proofErr w:type="spellStart"/>
      <w:r w:rsidR="008A40E9" w:rsidRPr="008E4734">
        <w:rPr>
          <w:rFonts w:cs="Times"/>
          <w:lang w:val="en-US"/>
        </w:rPr>
        <w:t>pracujących</w:t>
      </w:r>
      <w:proofErr w:type="spellEnd"/>
      <w:r w:rsidR="008A40E9" w:rsidRPr="008E4734">
        <w:rPr>
          <w:rFonts w:cs="Times"/>
          <w:lang w:val="en-US"/>
        </w:rPr>
        <w:t xml:space="preserve"> </w:t>
      </w:r>
      <w:proofErr w:type="spellStart"/>
      <w:r w:rsidR="008A40E9" w:rsidRPr="008E4734">
        <w:rPr>
          <w:rFonts w:cs="Times"/>
          <w:lang w:val="en-US"/>
        </w:rPr>
        <w:t>zgodnie</w:t>
      </w:r>
      <w:proofErr w:type="spellEnd"/>
      <w:r w:rsidR="008A40E9" w:rsidRPr="008E4734">
        <w:rPr>
          <w:rFonts w:cs="Times"/>
          <w:lang w:val="en-US"/>
        </w:rPr>
        <w:t xml:space="preserve"> z </w:t>
      </w:r>
      <w:proofErr w:type="spellStart"/>
      <w:r w:rsidR="008A40E9" w:rsidRPr="008E4734">
        <w:rPr>
          <w:rFonts w:cs="Times"/>
          <w:lang w:val="en-US"/>
        </w:rPr>
        <w:t>decyzją</w:t>
      </w:r>
      <w:proofErr w:type="spellEnd"/>
      <w:r w:rsidR="008A40E9" w:rsidRPr="008E4734">
        <w:rPr>
          <w:rFonts w:cs="Times"/>
          <w:lang w:val="en-US"/>
        </w:rPr>
        <w:t xml:space="preserve"> ECC/DEC/(06)03 „</w:t>
      </w:r>
      <w:r w:rsidR="00E03B1D" w:rsidRPr="008E4734">
        <w:rPr>
          <w:rFonts w:cs="Times"/>
          <w:lang w:val="en-US"/>
        </w:rPr>
        <w:t>O</w:t>
      </w:r>
      <w:r w:rsidR="008A40E9" w:rsidRPr="008E4734">
        <w:rPr>
          <w:rFonts w:cs="Times"/>
          <w:lang w:val="en-US"/>
        </w:rPr>
        <w:t xml:space="preserve">n Exemption from Individual Licensing of High </w:t>
      </w:r>
      <w:proofErr w:type="spellStart"/>
      <w:r w:rsidR="008A40E9" w:rsidRPr="008E4734">
        <w:rPr>
          <w:rFonts w:cs="Times"/>
          <w:lang w:val="en-US"/>
        </w:rPr>
        <w:t>e.i.r.p</w:t>
      </w:r>
      <w:proofErr w:type="spellEnd"/>
      <w:r w:rsidR="008A40E9" w:rsidRPr="008E4734">
        <w:rPr>
          <w:rFonts w:cs="Times"/>
          <w:lang w:val="en-US"/>
        </w:rPr>
        <w:t xml:space="preserve">. Satellite Terminals (HEST) with </w:t>
      </w:r>
      <w:proofErr w:type="spellStart"/>
      <w:r w:rsidR="008A40E9" w:rsidRPr="008E4734">
        <w:rPr>
          <w:rFonts w:cs="Times"/>
          <w:lang w:val="en-US"/>
        </w:rPr>
        <w:t>e.i.r.p</w:t>
      </w:r>
      <w:proofErr w:type="spellEnd"/>
      <w:r w:rsidR="008A40E9" w:rsidRPr="008E4734">
        <w:rPr>
          <w:rFonts w:cs="Times"/>
          <w:lang w:val="en-US"/>
        </w:rPr>
        <w:t xml:space="preserve">. above 34 </w:t>
      </w:r>
      <w:proofErr w:type="spellStart"/>
      <w:r w:rsidR="008A40E9" w:rsidRPr="008E4734">
        <w:rPr>
          <w:rFonts w:cs="Times"/>
          <w:lang w:val="en-US"/>
        </w:rPr>
        <w:t>dBW</w:t>
      </w:r>
      <w:proofErr w:type="spellEnd"/>
      <w:r w:rsidR="008A40E9" w:rsidRPr="008E4734">
        <w:rPr>
          <w:rFonts w:cs="Times"/>
          <w:lang w:val="en-US"/>
        </w:rPr>
        <w:t xml:space="preserve"> operating within the frequency bands 10,70-12,75 GHz or 19,70–20,20 GHz space-to-Earth and 14,00-14,25 GHz or 29,50–30,00 GHz Earth-to-space” (Approved 24 March 2006, </w:t>
      </w:r>
      <w:r w:rsidRPr="008E4734">
        <w:rPr>
          <w:rFonts w:cs="Times"/>
          <w:lang w:val="en-US"/>
        </w:rPr>
        <w:t xml:space="preserve">latest </w:t>
      </w:r>
      <w:r w:rsidR="008A40E9" w:rsidRPr="008E4734">
        <w:rPr>
          <w:rFonts w:cs="Times"/>
          <w:lang w:val="en-US"/>
        </w:rPr>
        <w:t xml:space="preserve">amended </w:t>
      </w:r>
      <w:r w:rsidRPr="00305EB8">
        <w:rPr>
          <w:rFonts w:cs="Times"/>
          <w:lang w:val="en-US"/>
        </w:rPr>
        <w:t>on 1</w:t>
      </w:r>
      <w:r w:rsidR="008A40E9" w:rsidRPr="00305EB8">
        <w:rPr>
          <w:rFonts w:cs="Times"/>
          <w:lang w:val="en-US"/>
        </w:rPr>
        <w:t xml:space="preserve">8 </w:t>
      </w:r>
      <w:r w:rsidRPr="00305EB8">
        <w:rPr>
          <w:rFonts w:cs="Times"/>
          <w:lang w:val="en-US"/>
        </w:rPr>
        <w:t xml:space="preserve">November </w:t>
      </w:r>
      <w:r w:rsidR="008A40E9" w:rsidRPr="00305EB8">
        <w:rPr>
          <w:rFonts w:cs="Times"/>
          <w:lang w:val="en-US"/>
        </w:rPr>
        <w:t>20</w:t>
      </w:r>
      <w:r w:rsidRPr="00305EB8">
        <w:rPr>
          <w:rFonts w:cs="Times"/>
          <w:lang w:val="en-US"/>
        </w:rPr>
        <w:t>22</w:t>
      </w:r>
      <w:r w:rsidR="008A40E9" w:rsidRPr="00305EB8">
        <w:rPr>
          <w:rFonts w:cs="Times"/>
          <w:lang w:val="en-US"/>
        </w:rPr>
        <w:t xml:space="preserve">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1</w:t>
      </w:r>
      <w:r w:rsidR="008A40E9" w:rsidRPr="00305EB8">
        <w:rPr>
          <w:rFonts w:cs="Times"/>
          <w:lang w:val="en-US"/>
        </w:rPr>
        <w:t>,</w:t>
      </w:r>
    </w:p>
    <w:p w14:paraId="090DA474" w14:textId="6EE87B49" w:rsidR="008A40E9" w:rsidRPr="00305EB8" w:rsidRDefault="007C0FE9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2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AES,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ECC/DEC/(05)11 „The free circulation and use of Aircraft Earth Stations (AES) in the frequency bands 14,0-14,5 GHz (Earth-to-space), 10,7-11,7 GHz (space-to-Earth) and 12,5-12,75 GHz (space-to-Earth)” (Approved 24 June 2005, </w:t>
      </w:r>
      <w:r w:rsidRPr="00305EB8">
        <w:rPr>
          <w:rFonts w:cs="Times"/>
          <w:lang w:val="en-US"/>
        </w:rPr>
        <w:t>latest updated 18 November 2022</w:t>
      </w:r>
      <w:r w:rsidR="008A40E9" w:rsidRPr="00305EB8">
        <w:rPr>
          <w:rFonts w:cs="Times"/>
          <w:lang w:val="en-US"/>
        </w:rPr>
        <w:t xml:space="preserve">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2</w:t>
      </w:r>
      <w:r w:rsidR="008A40E9" w:rsidRPr="00305EB8">
        <w:rPr>
          <w:rFonts w:cs="Times"/>
          <w:lang w:val="en-US"/>
        </w:rPr>
        <w:t>,</w:t>
      </w:r>
    </w:p>
    <w:p w14:paraId="6B6AA3D9" w14:textId="0E239598" w:rsidR="008A40E9" w:rsidRPr="00305EB8" w:rsidRDefault="007C0FE9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3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ESV,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ECC/DEC/(05)10 „The free circulation and use of Earth Stations on board Vessels  operating in fixed satellite service networks in the frequency bands 14-14,5 GHz” (Approved 24 June 2005, amended 8 March 2019)”,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3</w:t>
      </w:r>
      <w:r w:rsidR="008A40E9" w:rsidRPr="00305EB8">
        <w:rPr>
          <w:rFonts w:cs="Times"/>
          <w:lang w:val="en-US"/>
        </w:rPr>
        <w:t>,</w:t>
      </w:r>
    </w:p>
    <w:p w14:paraId="751CA505" w14:textId="15AE0713" w:rsidR="008A40E9" w:rsidRPr="00305EB8" w:rsidRDefault="007C0FE9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4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HDAFSS,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ECC/DEC/(05)08 „The availability of frequency bands for high density applications in the Fixed-Satellite Service (space-to-Earth and Earth-to-space)” (Approved 24 June 2005, </w:t>
      </w:r>
      <w:r w:rsidR="000646AF" w:rsidRPr="00305EB8">
        <w:rPr>
          <w:rFonts w:cs="Times"/>
          <w:lang w:val="en-US"/>
        </w:rPr>
        <w:t xml:space="preserve">latest </w:t>
      </w:r>
      <w:r w:rsidR="008A40E9" w:rsidRPr="00305EB8">
        <w:rPr>
          <w:rFonts w:cs="Times"/>
          <w:lang w:val="en-US"/>
        </w:rPr>
        <w:t xml:space="preserve">amended </w:t>
      </w:r>
      <w:r w:rsidR="000646AF" w:rsidRPr="00305EB8">
        <w:rPr>
          <w:rFonts w:cs="Times"/>
          <w:lang w:val="en-US"/>
        </w:rPr>
        <w:t>on 1</w:t>
      </w:r>
      <w:r w:rsidR="008A40E9" w:rsidRPr="00305EB8">
        <w:rPr>
          <w:rFonts w:cs="Times"/>
          <w:lang w:val="en-US"/>
        </w:rPr>
        <w:t xml:space="preserve">8 </w:t>
      </w:r>
      <w:r w:rsidR="000646AF" w:rsidRPr="00305EB8">
        <w:rPr>
          <w:rFonts w:cs="Times"/>
          <w:lang w:val="en-US"/>
        </w:rPr>
        <w:t>November 2022</w:t>
      </w:r>
      <w:r w:rsidR="008A40E9" w:rsidRPr="00305EB8">
        <w:rPr>
          <w:rFonts w:cs="Times"/>
          <w:lang w:val="en-US"/>
        </w:rPr>
        <w:t xml:space="preserve">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="000646AF" w:rsidRPr="00305EB8">
        <w:rPr>
          <w:rFonts w:cs="Times"/>
          <w:lang w:val="en-US"/>
        </w:rPr>
        <w:t>4</w:t>
      </w:r>
      <w:r w:rsidR="008A40E9" w:rsidRPr="00305EB8">
        <w:rPr>
          <w:rFonts w:cs="Times"/>
          <w:lang w:val="en-US"/>
        </w:rPr>
        <w:t>,</w:t>
      </w:r>
    </w:p>
    <w:p w14:paraId="66F3A2C8" w14:textId="79F88328" w:rsidR="008A40E9" w:rsidRPr="00305EB8" w:rsidRDefault="000646AF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5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UESFSS,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ECC/DEC/(05)01 „The use of the band 27,5-29,5 GHz by the Fixed Service and uncoordinated Earth stations of the Fixed-Satellite Service (Earth-to-space)” (Approved 18 March 2005, amended 8 March 2019),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5</w:t>
      </w:r>
      <w:r w:rsidR="008A40E9" w:rsidRPr="00305EB8">
        <w:rPr>
          <w:rFonts w:cs="Times"/>
          <w:lang w:val="en-US"/>
        </w:rPr>
        <w:t>,</w:t>
      </w:r>
    </w:p>
    <w:p w14:paraId="2BB8B723" w14:textId="30812823" w:rsidR="008A40E9" w:rsidRPr="00305EB8" w:rsidRDefault="000646AF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6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FES NGSO FSS,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</w:t>
      </w:r>
      <w:r w:rsidRPr="00305EB8">
        <w:rPr>
          <w:rFonts w:cs="Times"/>
          <w:lang w:val="en-US"/>
        </w:rPr>
        <w:t>/</w:t>
      </w:r>
      <w:r w:rsidR="008A40E9" w:rsidRPr="00305EB8">
        <w:rPr>
          <w:rFonts w:cs="Times"/>
          <w:lang w:val="en-US"/>
        </w:rPr>
        <w:t xml:space="preserve">(17)04 „The </w:t>
      </w:r>
      <w:proofErr w:type="spellStart"/>
      <w:r w:rsidR="008A40E9" w:rsidRPr="00305EB8">
        <w:rPr>
          <w:rFonts w:cs="Times"/>
          <w:lang w:val="en-US"/>
        </w:rPr>
        <w:t>harmonised</w:t>
      </w:r>
      <w:proofErr w:type="spellEnd"/>
      <w:r w:rsidR="008A40E9" w:rsidRPr="00305EB8">
        <w:rPr>
          <w:rFonts w:cs="Times"/>
          <w:lang w:val="en-US"/>
        </w:rPr>
        <w:t xml:space="preserve"> use and exemption from individual licensing of fixed earth stations operating with NGSO FSS satellite systems in the frequency bands 10,7-12,75 GHz and 14.0-14,5 GHz“ </w:t>
      </w:r>
      <w:r w:rsidR="008A40E9" w:rsidRPr="00305EB8">
        <w:rPr>
          <w:rFonts w:cs="Times"/>
          <w:lang w:val="en-US"/>
        </w:rPr>
        <w:lastRenderedPageBreak/>
        <w:t xml:space="preserve">(Approved 30 June 2017, latest </w:t>
      </w:r>
      <w:r w:rsidRPr="00305EB8">
        <w:rPr>
          <w:rFonts w:cs="Times"/>
          <w:lang w:val="en-US"/>
        </w:rPr>
        <w:t>updated 18 November 2022</w:t>
      </w:r>
      <w:r w:rsidR="008A40E9" w:rsidRPr="00305EB8">
        <w:rPr>
          <w:rFonts w:cs="Times"/>
          <w:lang w:val="en-US"/>
        </w:rPr>
        <w:t xml:space="preserve">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6</w:t>
      </w:r>
      <w:r w:rsidR="008A40E9" w:rsidRPr="00305EB8">
        <w:rPr>
          <w:rFonts w:cs="Times"/>
          <w:lang w:val="en-US"/>
        </w:rPr>
        <w:t>,</w:t>
      </w:r>
    </w:p>
    <w:p w14:paraId="68568371" w14:textId="65949785" w:rsidR="008A40E9" w:rsidRPr="00305EB8" w:rsidRDefault="000646AF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7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ESOMP,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ECC/DEC/(13)01 „The </w:t>
      </w:r>
      <w:proofErr w:type="spellStart"/>
      <w:r w:rsidR="008A40E9" w:rsidRPr="00305EB8">
        <w:rPr>
          <w:rFonts w:cs="Times"/>
          <w:lang w:val="en-US"/>
        </w:rPr>
        <w:t>harmonised</w:t>
      </w:r>
      <w:proofErr w:type="spellEnd"/>
      <w:r w:rsidR="008A40E9" w:rsidRPr="00305EB8">
        <w:rPr>
          <w:rFonts w:cs="Times"/>
          <w:lang w:val="en-US"/>
        </w:rPr>
        <w:t xml:space="preserve"> use, free circulation and exemption from individual licensing of Earth Stations On Mobile Platforms (ESOMPs) within the frequency bands 17,3-20,2 GHz and 27,5-30,0 GHz” (Approved 8 March 2013, latest amended 2 July 2021),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7</w:t>
      </w:r>
      <w:r w:rsidR="008A40E9" w:rsidRPr="00305EB8">
        <w:rPr>
          <w:rFonts w:cs="Times"/>
          <w:lang w:val="en-US"/>
        </w:rPr>
        <w:t>,</w:t>
      </w:r>
    </w:p>
    <w:p w14:paraId="59FD7C10" w14:textId="7288FEEC" w:rsidR="008A40E9" w:rsidRPr="00305EB8" w:rsidRDefault="000646AF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8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NGSO ESOMP,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</w:t>
      </w:r>
      <w:r w:rsidRPr="00305EB8">
        <w:rPr>
          <w:rFonts w:cs="Times"/>
          <w:lang w:val="en-US"/>
        </w:rPr>
        <w:t>/</w:t>
      </w:r>
      <w:r w:rsidR="008A40E9" w:rsidRPr="00305EB8">
        <w:rPr>
          <w:rFonts w:cs="Times"/>
          <w:lang w:val="en-US"/>
        </w:rPr>
        <w:t xml:space="preserve">(15)04 „The </w:t>
      </w:r>
      <w:proofErr w:type="spellStart"/>
      <w:r w:rsidR="008A40E9" w:rsidRPr="00305EB8">
        <w:rPr>
          <w:rFonts w:cs="Times"/>
          <w:lang w:val="en-US"/>
        </w:rPr>
        <w:t>harmonised</w:t>
      </w:r>
      <w:proofErr w:type="spellEnd"/>
      <w:r w:rsidR="008A40E9" w:rsidRPr="00305EB8">
        <w:rPr>
          <w:rFonts w:cs="Times"/>
          <w:lang w:val="en-US"/>
        </w:rPr>
        <w:t xml:space="preserve"> use, free circulation and exemption from individual licensing of Land, Maritime and Aeronautical Earth Stations On Mobile Platforms (ESOMPs) operating with NGSO FSS satellite systems in the frequency ranges 17,3-20,2 GHz, 27,5-29,1 GHz and 29,5-30,0 GHz” (Approved 3 July 2015, amended 20 November 2020),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8</w:t>
      </w:r>
      <w:r w:rsidR="008A40E9" w:rsidRPr="00305EB8">
        <w:rPr>
          <w:rStyle w:val="Odwoanieprzypisudolnego"/>
          <w:rFonts w:cs="Times"/>
          <w:szCs w:val="24"/>
          <w:lang w:val="en-US"/>
        </w:rPr>
        <w:footnoteReference w:customMarkFollows="1" w:id="3"/>
        <w:t>5)</w:t>
      </w:r>
      <w:r w:rsidR="008A40E9" w:rsidRPr="00305EB8">
        <w:rPr>
          <w:rFonts w:cs="Times"/>
          <w:lang w:val="en-US"/>
        </w:rPr>
        <w:t>,</w:t>
      </w:r>
    </w:p>
    <w:p w14:paraId="6C8D4EDF" w14:textId="3D4CB86F" w:rsidR="008A40E9" w:rsidRPr="00305EB8" w:rsidRDefault="000646AF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9</w:t>
      </w:r>
      <w:r w:rsidR="00B770F3" w:rsidRPr="00305EB8">
        <w:rPr>
          <w:rFonts w:cs="Times"/>
          <w:lang w:val="en-US"/>
        </w:rPr>
        <w:t xml:space="preserve">) </w:t>
      </w:r>
      <w:r w:rsidR="00B770F3"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GSO ESIM,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ECC/DEC(18)04 „The </w:t>
      </w:r>
      <w:proofErr w:type="spellStart"/>
      <w:r w:rsidR="008A40E9" w:rsidRPr="00305EB8">
        <w:rPr>
          <w:rFonts w:cs="Times"/>
          <w:lang w:val="en-US"/>
        </w:rPr>
        <w:t>harmonised</w:t>
      </w:r>
      <w:proofErr w:type="spellEnd"/>
      <w:r w:rsidR="008A40E9" w:rsidRPr="00305EB8">
        <w:rPr>
          <w:rFonts w:cs="Times"/>
          <w:lang w:val="en-US"/>
        </w:rPr>
        <w:t xml:space="preserve"> use, exemption from individual licensing and free circulation and use of land based Earth Stations In-Motion (ESIM) operating with GSO FSS satellite systems in the frequency bands 10,7-12,75 GHz and 14,0-14,5 GHz” (Approved 06 July 2018</w:t>
      </w:r>
      <w:r w:rsidR="00E03B1D" w:rsidRPr="00305EB8">
        <w:rPr>
          <w:rFonts w:cs="Times"/>
          <w:lang w:val="en-US"/>
        </w:rPr>
        <w:t>, latest updated on 18 November 2022</w:t>
      </w:r>
      <w:r w:rsidR="008A40E9" w:rsidRPr="00305EB8">
        <w:rPr>
          <w:rFonts w:cs="Times"/>
          <w:lang w:val="en-US"/>
        </w:rPr>
        <w:t xml:space="preserve">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</w:t>
      </w:r>
      <w:r w:rsidRPr="00305EB8">
        <w:rPr>
          <w:rFonts w:cs="Times"/>
          <w:lang w:val="en-US"/>
        </w:rPr>
        <w:t>9</w:t>
      </w:r>
      <w:r w:rsidR="008A40E9" w:rsidRPr="00305EB8">
        <w:rPr>
          <w:rFonts w:cs="Times"/>
          <w:lang w:val="en-US"/>
        </w:rPr>
        <w:t>,</w:t>
      </w:r>
    </w:p>
    <w:p w14:paraId="0417B1C8" w14:textId="38CBFA23" w:rsidR="008A40E9" w:rsidRPr="00305EB8" w:rsidRDefault="00B770F3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1</w:t>
      </w:r>
      <w:r w:rsidR="000646AF" w:rsidRPr="00305EB8">
        <w:rPr>
          <w:rFonts w:cs="Times"/>
          <w:lang w:val="en-US"/>
        </w:rPr>
        <w:t>0</w:t>
      </w:r>
      <w:r w:rsidRPr="00305EB8">
        <w:rPr>
          <w:rFonts w:cs="Times"/>
          <w:lang w:val="en-US"/>
        </w:rPr>
        <w:t xml:space="preserve">) </w:t>
      </w:r>
      <w:r w:rsidRPr="00305EB8">
        <w:rPr>
          <w:rFonts w:cs="Times"/>
          <w:lang w:val="en-US"/>
        </w:rPr>
        <w:tab/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NGSO ESIM,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ECC/DEC(18)05 „The </w:t>
      </w:r>
      <w:proofErr w:type="spellStart"/>
      <w:r w:rsidR="008A40E9" w:rsidRPr="00305EB8">
        <w:rPr>
          <w:rFonts w:cs="Times"/>
          <w:lang w:val="en-US"/>
        </w:rPr>
        <w:t>harmonised</w:t>
      </w:r>
      <w:proofErr w:type="spellEnd"/>
      <w:r w:rsidR="008A40E9" w:rsidRPr="00305EB8">
        <w:rPr>
          <w:rFonts w:cs="Times"/>
          <w:lang w:val="en-US"/>
        </w:rPr>
        <w:t xml:space="preserve"> use, exemption from individual licensing and free circulation and use of Earth Stations In-Motion (ESIM) operating with NGSO FSS satellite systems in the frequency bands 10,7-12,75 GHz and 14,0-14,5 GHz” (Approved 06 July 2018, </w:t>
      </w:r>
      <w:r w:rsidR="00E03B1D" w:rsidRPr="00305EB8">
        <w:rPr>
          <w:rFonts w:cs="Times"/>
          <w:lang w:val="en-US"/>
        </w:rPr>
        <w:t xml:space="preserve">latest </w:t>
      </w:r>
      <w:r w:rsidR="008A40E9" w:rsidRPr="00305EB8">
        <w:rPr>
          <w:rFonts w:cs="Times"/>
          <w:lang w:val="en-US"/>
        </w:rPr>
        <w:t xml:space="preserve">updated </w:t>
      </w:r>
      <w:r w:rsidR="00E03B1D" w:rsidRPr="00305EB8">
        <w:rPr>
          <w:rFonts w:cs="Times"/>
          <w:lang w:val="en-US"/>
        </w:rPr>
        <w:t xml:space="preserve">18 </w:t>
      </w:r>
      <w:r w:rsidR="008A40E9" w:rsidRPr="00305EB8">
        <w:rPr>
          <w:rFonts w:cs="Times"/>
          <w:lang w:val="en-US"/>
        </w:rPr>
        <w:t>November 202</w:t>
      </w:r>
      <w:r w:rsidR="00E03B1D" w:rsidRPr="00305EB8">
        <w:rPr>
          <w:rFonts w:cs="Times"/>
          <w:lang w:val="en-US"/>
        </w:rPr>
        <w:t>2</w:t>
      </w:r>
      <w:r w:rsidR="008A40E9" w:rsidRPr="00305EB8">
        <w:rPr>
          <w:rFonts w:cs="Times"/>
          <w:lang w:val="en-US"/>
        </w:rPr>
        <w:t xml:space="preserve">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1</w:t>
      </w:r>
      <w:r w:rsidR="000646AF" w:rsidRPr="00305EB8">
        <w:rPr>
          <w:rFonts w:cs="Times"/>
          <w:lang w:val="en-US"/>
        </w:rPr>
        <w:t>0</w:t>
      </w:r>
      <w:r w:rsidR="008A40E9" w:rsidRPr="00305EB8">
        <w:rPr>
          <w:rFonts w:cs="Times"/>
          <w:lang w:val="en-US"/>
        </w:rPr>
        <w:t>,</w:t>
      </w:r>
    </w:p>
    <w:p w14:paraId="1C0C075F" w14:textId="52FE9DC9" w:rsidR="008A40E9" w:rsidRPr="00305EB8" w:rsidRDefault="00B770F3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1</w:t>
      </w:r>
      <w:r w:rsidR="000646AF" w:rsidRPr="00305EB8">
        <w:rPr>
          <w:rFonts w:cs="Times"/>
          <w:lang w:val="en-US"/>
        </w:rPr>
        <w:t>1</w:t>
      </w:r>
      <w:r w:rsidRPr="00305EB8">
        <w:rPr>
          <w:rFonts w:cs="Times"/>
          <w:lang w:val="en-US"/>
        </w:rPr>
        <w:t xml:space="preserve">) </w:t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VSAT,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</w:t>
      </w:r>
      <w:r w:rsidR="000646AF" w:rsidRPr="00305EB8">
        <w:rPr>
          <w:rFonts w:cs="Times"/>
          <w:lang w:val="en-US"/>
        </w:rPr>
        <w:t>/</w:t>
      </w:r>
      <w:r w:rsidR="008A40E9" w:rsidRPr="00305EB8">
        <w:rPr>
          <w:rFonts w:cs="Times"/>
          <w:lang w:val="en-US"/>
        </w:rPr>
        <w:t xml:space="preserve">(03)04 „Exemption from Individual Licensing of Very Small Aperture Terminals (VSAT) operating in the frequency bands 14,25-14,50 GHz Earth-to-space and 10,70-11,70 GHz space-to-Earth” (Approved 17 October 2003, amended 8 March 2019),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1</w:t>
      </w:r>
      <w:r w:rsidR="000646AF" w:rsidRPr="00305EB8">
        <w:rPr>
          <w:rFonts w:cs="Times"/>
          <w:lang w:val="en-US"/>
        </w:rPr>
        <w:t>1</w:t>
      </w:r>
      <w:r w:rsidR="008A40E9" w:rsidRPr="00305EB8">
        <w:rPr>
          <w:rFonts w:cs="Times"/>
          <w:lang w:val="en-US"/>
        </w:rPr>
        <w:t>,</w:t>
      </w:r>
    </w:p>
    <w:p w14:paraId="14838674" w14:textId="0001D6AA" w:rsidR="008A40E9" w:rsidRPr="00305EB8" w:rsidRDefault="00B770F3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1</w:t>
      </w:r>
      <w:r w:rsidR="000646AF" w:rsidRPr="00305EB8">
        <w:rPr>
          <w:rFonts w:cs="Times"/>
          <w:lang w:val="en-US"/>
        </w:rPr>
        <w:t>2</w:t>
      </w:r>
      <w:r w:rsidRPr="00305EB8">
        <w:rPr>
          <w:rFonts w:cs="Times"/>
          <w:lang w:val="en-US"/>
        </w:rPr>
        <w:t xml:space="preserve">) </w:t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MES,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decyzją</w:t>
      </w:r>
      <w:proofErr w:type="spellEnd"/>
      <w:r w:rsidR="008A40E9" w:rsidRPr="00305EB8">
        <w:rPr>
          <w:rFonts w:cs="Times"/>
          <w:lang w:val="en-US"/>
        </w:rPr>
        <w:t xml:space="preserve"> ECC/DEC/(09)04 „On exemption from individual licensing and the free circulation and use of transmit-only mobile satellite </w:t>
      </w:r>
      <w:r w:rsidR="008A40E9" w:rsidRPr="00305EB8">
        <w:rPr>
          <w:rFonts w:cs="Times"/>
          <w:lang w:val="en-US"/>
        </w:rPr>
        <w:lastRenderedPageBreak/>
        <w:t xml:space="preserve">terminals operating in the Mobile-Satellite Service allocations in the 1613.8 - 1626.5 MHz band” (Approved 30 October 2009),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1</w:t>
      </w:r>
      <w:r w:rsidR="000646AF" w:rsidRPr="00305EB8">
        <w:rPr>
          <w:rFonts w:cs="Times"/>
          <w:lang w:val="en-US"/>
        </w:rPr>
        <w:t>2</w:t>
      </w:r>
      <w:r w:rsidR="008A40E9" w:rsidRPr="00305EB8">
        <w:rPr>
          <w:rFonts w:cs="Times"/>
          <w:lang w:val="en-US"/>
        </w:rPr>
        <w:t>,</w:t>
      </w:r>
    </w:p>
    <w:p w14:paraId="6194EB15" w14:textId="35DDA604" w:rsidR="00F56417" w:rsidRPr="00305EB8" w:rsidRDefault="00F56417" w:rsidP="00F56417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 xml:space="preserve">13) </w:t>
      </w:r>
      <w:proofErr w:type="spellStart"/>
      <w:r w:rsidRPr="00305EB8">
        <w:rPr>
          <w:rFonts w:cs="Times"/>
          <w:lang w:val="en-US"/>
        </w:rPr>
        <w:t>typu</w:t>
      </w:r>
      <w:proofErr w:type="spellEnd"/>
      <w:r w:rsidRPr="00305EB8">
        <w:rPr>
          <w:rFonts w:cs="Times"/>
          <w:lang w:val="en-US"/>
        </w:rPr>
        <w:t xml:space="preserve"> MES </w:t>
      </w:r>
      <w:proofErr w:type="spellStart"/>
      <w:r w:rsidRPr="00305EB8">
        <w:rPr>
          <w:rFonts w:cs="Times"/>
          <w:lang w:val="en-US"/>
        </w:rPr>
        <w:t>pracujących</w:t>
      </w:r>
      <w:proofErr w:type="spellEnd"/>
      <w:r w:rsidRPr="00305EB8">
        <w:rPr>
          <w:rFonts w:cs="Times"/>
          <w:lang w:val="en-US"/>
        </w:rPr>
        <w:t xml:space="preserve"> pod </w:t>
      </w:r>
      <w:proofErr w:type="spellStart"/>
      <w:r w:rsidRPr="00305EB8">
        <w:rPr>
          <w:rFonts w:cs="Times"/>
          <w:lang w:val="en-US"/>
        </w:rPr>
        <w:t>kontrolą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sieci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zgodnie</w:t>
      </w:r>
      <w:proofErr w:type="spellEnd"/>
      <w:r w:rsidRPr="00305EB8">
        <w:rPr>
          <w:rFonts w:cs="Times"/>
          <w:lang w:val="en-US"/>
        </w:rPr>
        <w:t xml:space="preserve"> z </w:t>
      </w:r>
      <w:proofErr w:type="spellStart"/>
      <w:r w:rsidRPr="00305EB8">
        <w:rPr>
          <w:rFonts w:cs="Times"/>
          <w:lang w:val="en-US"/>
        </w:rPr>
        <w:t>decyzją</w:t>
      </w:r>
      <w:proofErr w:type="spellEnd"/>
      <w:r w:rsidRPr="00305EB8">
        <w:rPr>
          <w:rFonts w:cs="Times"/>
          <w:lang w:val="en-US"/>
        </w:rPr>
        <w:t xml:space="preserve"> ECC/DEC/(12)01 „Exemption from individual licensing and free circulation and use of satellite mobile terminals operating under the control of networks in the range 1 to 3 GHz” (Approved 1 June 2009, latest amended 4 March 2022), </w:t>
      </w:r>
      <w:proofErr w:type="spellStart"/>
      <w:r w:rsidRPr="00305EB8">
        <w:rPr>
          <w:rFonts w:cs="Times"/>
          <w:lang w:val="en-US"/>
        </w:rPr>
        <w:t>których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ogólne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warunki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używania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określa</w:t>
      </w:r>
      <w:proofErr w:type="spellEnd"/>
      <w:r w:rsidRPr="00305EB8">
        <w:rPr>
          <w:rFonts w:cs="Times"/>
          <w:lang w:val="en-US"/>
        </w:rPr>
        <w:t xml:space="preserve"> </w:t>
      </w:r>
      <w:proofErr w:type="spellStart"/>
      <w:r w:rsidRPr="00305EB8">
        <w:rPr>
          <w:rFonts w:cs="Times"/>
          <w:lang w:val="en-US"/>
        </w:rPr>
        <w:t>wykaz</w:t>
      </w:r>
      <w:proofErr w:type="spellEnd"/>
      <w:r w:rsidRPr="00305EB8">
        <w:rPr>
          <w:rFonts w:cs="Times"/>
          <w:lang w:val="en-US"/>
        </w:rPr>
        <w:t xml:space="preserve"> nr 13,</w:t>
      </w:r>
    </w:p>
    <w:p w14:paraId="14C9D9CC" w14:textId="57788FCC" w:rsidR="008A40E9" w:rsidRPr="00305EB8" w:rsidRDefault="00B770F3" w:rsidP="00B770F3">
      <w:pPr>
        <w:pStyle w:val="PKTpunkt"/>
        <w:rPr>
          <w:rFonts w:cs="Times"/>
          <w:lang w:val="en-US"/>
        </w:rPr>
      </w:pPr>
      <w:r w:rsidRPr="00305EB8">
        <w:rPr>
          <w:rFonts w:cs="Times"/>
          <w:lang w:val="en-US"/>
        </w:rPr>
        <w:t>1</w:t>
      </w:r>
      <w:r w:rsidR="00F56417" w:rsidRPr="00305EB8">
        <w:rPr>
          <w:rFonts w:cs="Times"/>
          <w:lang w:val="en-US"/>
        </w:rPr>
        <w:t>4</w:t>
      </w:r>
      <w:r w:rsidRPr="00305EB8">
        <w:rPr>
          <w:rFonts w:cs="Times"/>
          <w:lang w:val="en-US"/>
        </w:rPr>
        <w:t xml:space="preserve">) </w:t>
      </w:r>
      <w:proofErr w:type="spellStart"/>
      <w:r w:rsidR="008A40E9" w:rsidRPr="00305EB8">
        <w:rPr>
          <w:rFonts w:cs="Times"/>
          <w:lang w:val="en-US"/>
        </w:rPr>
        <w:t>typu</w:t>
      </w:r>
      <w:proofErr w:type="spellEnd"/>
      <w:r w:rsidR="008A40E9" w:rsidRPr="00305EB8">
        <w:rPr>
          <w:rFonts w:cs="Times"/>
          <w:lang w:val="en-US"/>
        </w:rPr>
        <w:t xml:space="preserve"> S-PCS, </w:t>
      </w:r>
      <w:proofErr w:type="spellStart"/>
      <w:r w:rsidR="008A40E9" w:rsidRPr="00305EB8">
        <w:rPr>
          <w:rFonts w:cs="Times"/>
          <w:lang w:val="en-US"/>
        </w:rPr>
        <w:t>pracujących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zgodnie</w:t>
      </w:r>
      <w:proofErr w:type="spellEnd"/>
      <w:r w:rsidR="008A40E9" w:rsidRPr="00305EB8">
        <w:rPr>
          <w:rFonts w:cs="Times"/>
          <w:lang w:val="en-US"/>
        </w:rPr>
        <w:t xml:space="preserve"> z </w:t>
      </w:r>
      <w:proofErr w:type="spellStart"/>
      <w:r w:rsidR="008A40E9" w:rsidRPr="00305EB8">
        <w:rPr>
          <w:rFonts w:cs="Times"/>
          <w:lang w:val="en-US"/>
        </w:rPr>
        <w:t>decyzjami</w:t>
      </w:r>
      <w:proofErr w:type="spellEnd"/>
      <w:r w:rsidR="008A40E9" w:rsidRPr="00305EB8">
        <w:rPr>
          <w:rFonts w:cs="Times"/>
          <w:lang w:val="en-US"/>
        </w:rPr>
        <w:t xml:space="preserve">: ERC/DEC/(99)06 „On the </w:t>
      </w:r>
      <w:proofErr w:type="spellStart"/>
      <w:r w:rsidR="008A40E9" w:rsidRPr="00305EB8">
        <w:rPr>
          <w:rFonts w:cs="Times"/>
          <w:lang w:val="en-US"/>
        </w:rPr>
        <w:t>harmonised</w:t>
      </w:r>
      <w:proofErr w:type="spellEnd"/>
      <w:r w:rsidR="008A40E9" w:rsidRPr="00305EB8">
        <w:rPr>
          <w:rFonts w:cs="Times"/>
          <w:lang w:val="en-US"/>
        </w:rPr>
        <w:t xml:space="preserve"> introduction of satellite personal communication systems operating in the bands below 1 GHz (S-PCS&lt;1GHz)” (Approved 10 March 1999, </w:t>
      </w:r>
      <w:r w:rsidR="00E03B1D" w:rsidRPr="00305EB8">
        <w:rPr>
          <w:rFonts w:cs="Times"/>
          <w:lang w:val="en-US"/>
        </w:rPr>
        <w:t>latest updated 10 March 2023</w:t>
      </w:r>
      <w:r w:rsidR="008A40E9" w:rsidRPr="00305EB8">
        <w:rPr>
          <w:rFonts w:cs="Times"/>
          <w:lang w:val="en-US"/>
        </w:rPr>
        <w:t xml:space="preserve">), ERC/DEC/(99)05 „On free Circulation, Use and Exemption from Individual Licensing of Mobile Earth Stations of S-PCS&lt;1GHz systems” (Approved 10 March 1999) </w:t>
      </w:r>
      <w:proofErr w:type="spellStart"/>
      <w:r w:rsidR="008A40E9" w:rsidRPr="00305EB8">
        <w:rPr>
          <w:rFonts w:cs="Times"/>
          <w:lang w:val="en-US"/>
        </w:rPr>
        <w:t>oraz</w:t>
      </w:r>
      <w:proofErr w:type="spellEnd"/>
      <w:r w:rsidR="008A40E9" w:rsidRPr="00305EB8">
        <w:rPr>
          <w:rFonts w:cs="Times"/>
          <w:lang w:val="en-US"/>
        </w:rPr>
        <w:t xml:space="preserve"> ECTRA/DEC(99)02 „On </w:t>
      </w:r>
      <w:proofErr w:type="spellStart"/>
      <w:r w:rsidR="008A40E9" w:rsidRPr="00305EB8">
        <w:rPr>
          <w:rFonts w:cs="Times"/>
          <w:lang w:val="en-US"/>
        </w:rPr>
        <w:t>harmonisation</w:t>
      </w:r>
      <w:proofErr w:type="spellEnd"/>
      <w:r w:rsidR="008A40E9" w:rsidRPr="00305EB8">
        <w:rPr>
          <w:rFonts w:cs="Times"/>
          <w:lang w:val="en-US"/>
        </w:rPr>
        <w:t xml:space="preserve"> of </w:t>
      </w:r>
      <w:proofErr w:type="spellStart"/>
      <w:r w:rsidR="008A40E9" w:rsidRPr="00305EB8">
        <w:rPr>
          <w:rFonts w:cs="Times"/>
          <w:lang w:val="en-US"/>
        </w:rPr>
        <w:t>authorisation</w:t>
      </w:r>
      <w:proofErr w:type="spellEnd"/>
      <w:r w:rsidR="008A40E9" w:rsidRPr="00305EB8">
        <w:rPr>
          <w:rFonts w:cs="Times"/>
          <w:lang w:val="en-US"/>
        </w:rPr>
        <w:t xml:space="preserve"> conditions in the field of Satellite Personal Communications Services (S-PCS) in Europe, operating in the bands below 1 GHz (S-PCS&lt;1 GHz)” (Approved 3 March 1999), </w:t>
      </w:r>
      <w:proofErr w:type="spellStart"/>
      <w:r w:rsidR="008A40E9" w:rsidRPr="00305EB8">
        <w:rPr>
          <w:rFonts w:cs="Times"/>
          <w:lang w:val="en-US"/>
        </w:rPr>
        <w:t>których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ogólne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warunki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używania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określa</w:t>
      </w:r>
      <w:proofErr w:type="spellEnd"/>
      <w:r w:rsidR="008A40E9" w:rsidRPr="00305EB8">
        <w:rPr>
          <w:rFonts w:cs="Times"/>
          <w:lang w:val="en-US"/>
        </w:rPr>
        <w:t xml:space="preserve"> </w:t>
      </w:r>
      <w:proofErr w:type="spellStart"/>
      <w:r w:rsidR="008A40E9" w:rsidRPr="00305EB8">
        <w:rPr>
          <w:rFonts w:cs="Times"/>
          <w:lang w:val="en-US"/>
        </w:rPr>
        <w:t>wykaz</w:t>
      </w:r>
      <w:proofErr w:type="spellEnd"/>
      <w:r w:rsidR="008A40E9" w:rsidRPr="00305EB8">
        <w:rPr>
          <w:rFonts w:cs="Times"/>
          <w:lang w:val="en-US"/>
        </w:rPr>
        <w:t xml:space="preserve"> nr 1</w:t>
      </w:r>
      <w:r w:rsidR="00F56417" w:rsidRPr="00305EB8">
        <w:rPr>
          <w:rFonts w:cs="Times"/>
          <w:lang w:val="en-US"/>
        </w:rPr>
        <w:t>4</w:t>
      </w:r>
    </w:p>
    <w:p w14:paraId="1EB52FCB" w14:textId="77777777" w:rsidR="008A40E9" w:rsidRPr="00305EB8" w:rsidRDefault="008A40E9" w:rsidP="00B770F3">
      <w:pPr>
        <w:pStyle w:val="CZWSPPKTczwsplnapunktw"/>
        <w:rPr>
          <w:rFonts w:cs="Times"/>
        </w:rPr>
      </w:pPr>
      <w:r w:rsidRPr="00305EB8">
        <w:rPr>
          <w:rFonts w:cs="Times"/>
        </w:rPr>
        <w:t>- z tym, że moce określone w powyższych wykazach są mocami szczytowymi.</w:t>
      </w:r>
    </w:p>
    <w:p w14:paraId="27F73991" w14:textId="20DEE297" w:rsidR="008A40E9" w:rsidRPr="00305EB8" w:rsidRDefault="00B770F3" w:rsidP="00B770F3">
      <w:pPr>
        <w:pStyle w:val="NIEARTTEKSTtekstnieartykuowanynppodstprawnarozplubpreambua"/>
        <w:rPr>
          <w:rFonts w:cs="Times"/>
        </w:rPr>
      </w:pPr>
      <w:r w:rsidRPr="00305EB8">
        <w:rPr>
          <w:rFonts w:cs="Times"/>
        </w:rPr>
        <w:t xml:space="preserve">2. </w:t>
      </w:r>
      <w:r w:rsidR="008A40E9" w:rsidRPr="00305EB8">
        <w:rPr>
          <w:rFonts w:cs="Times"/>
        </w:rPr>
        <w:t xml:space="preserve">Jeżeli antena jest sprzężona z więcej niż jednym nadajnikiem lub nadajnik wytwarza więcej niż jedną falę nośną, </w:t>
      </w:r>
      <w:proofErr w:type="spellStart"/>
      <w:r w:rsidR="008A40E9" w:rsidRPr="00305EB8">
        <w:rPr>
          <w:rFonts w:cs="Times"/>
        </w:rPr>
        <w:t>e.i.r.p</w:t>
      </w:r>
      <w:proofErr w:type="spellEnd"/>
      <w:r w:rsidR="008A40E9" w:rsidRPr="00305EB8">
        <w:rPr>
          <w:rFonts w:cs="Times"/>
        </w:rPr>
        <w:t>. określona w wykazach 1-1</w:t>
      </w:r>
      <w:r w:rsidR="00E03B1D" w:rsidRPr="00305EB8">
        <w:rPr>
          <w:rFonts w:cs="Times"/>
        </w:rPr>
        <w:t>3</w:t>
      </w:r>
      <w:r w:rsidR="008A40E9" w:rsidRPr="00305EB8">
        <w:rPr>
          <w:rFonts w:cs="Times"/>
        </w:rPr>
        <w:t xml:space="preserve"> jest sumą mocy wszystkich emisji promieniowanych przez wiązkę główną anteny.</w:t>
      </w:r>
    </w:p>
    <w:p w14:paraId="125A3273" w14:textId="0CC54CCD" w:rsidR="008A40E9" w:rsidRPr="001A1292" w:rsidRDefault="008A40E9" w:rsidP="00845367">
      <w:pPr>
        <w:pStyle w:val="OZNZACZNIKAwskazanienrzacznika"/>
        <w:jc w:val="both"/>
        <w:rPr>
          <w:rFonts w:ascii="Times" w:hAnsi="Times" w:cs="Times"/>
          <w:sz w:val="20"/>
        </w:rPr>
      </w:pPr>
      <w:r w:rsidRPr="00305EB8">
        <w:rPr>
          <w:rFonts w:ascii="Times" w:hAnsi="Times" w:cs="Times"/>
        </w:rPr>
        <w:br w:type="page"/>
      </w:r>
    </w:p>
    <w:p w14:paraId="294E2039" w14:textId="3DD3F875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0646AF" w:rsidRPr="00305EB8">
        <w:rPr>
          <w:rFonts w:ascii="Times" w:hAnsi="Times" w:cs="Times"/>
        </w:rPr>
        <w:t>1</w:t>
      </w:r>
    </w:p>
    <w:p w14:paraId="3536F842" w14:textId="77777777" w:rsidR="008A40E9" w:rsidRPr="001A1292" w:rsidRDefault="008A40E9" w:rsidP="00B770F3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1A1292">
        <w:rPr>
          <w:rStyle w:val="Ppogrubienie"/>
          <w:rFonts w:ascii="Times" w:hAnsi="Times" w:cs="Times"/>
          <w:sz w:val="24"/>
          <w:szCs w:val="24"/>
        </w:rPr>
        <w:t>Urządzenia typu HEST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498"/>
        <w:gridCol w:w="5986"/>
      </w:tblGrid>
      <w:tr w:rsidR="0037771C" w:rsidRPr="00305EB8" w14:paraId="6D89607A" w14:textId="77777777" w:rsidTr="008A40E9">
        <w:trPr>
          <w:jc w:val="center"/>
        </w:trPr>
        <w:tc>
          <w:tcPr>
            <w:tcW w:w="0" w:type="auto"/>
            <w:vAlign w:val="center"/>
          </w:tcPr>
          <w:p w14:paraId="18DED5BE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37BAA4BA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0E4E5116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Zakresy częstotliwości, parametry techniczne</w:t>
            </w:r>
          </w:p>
        </w:tc>
      </w:tr>
      <w:tr w:rsidR="0037771C" w:rsidRPr="00305EB8" w14:paraId="297C4F7A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4A471DF5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55520B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(Ziemia–kosmos)</w:t>
            </w:r>
          </w:p>
        </w:tc>
        <w:tc>
          <w:tcPr>
            <w:tcW w:w="0" w:type="auto"/>
            <w:vAlign w:val="center"/>
          </w:tcPr>
          <w:p w14:paraId="4DD5B93E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14,00–14,25 GHz</w:t>
            </w:r>
          </w:p>
          <w:p w14:paraId="1B305D6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29,5–30,0 GHz</w:t>
            </w:r>
          </w:p>
        </w:tc>
      </w:tr>
      <w:tr w:rsidR="0037771C" w:rsidRPr="00305EB8" w14:paraId="1BD8DAAC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2101B5FE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9AF8D5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3ECF1C8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10,70–12,75 GHz *)</w:t>
            </w:r>
          </w:p>
          <w:p w14:paraId="2A87190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19,7–20,2 GHz</w:t>
            </w:r>
          </w:p>
        </w:tc>
      </w:tr>
      <w:tr w:rsidR="0037771C" w:rsidRPr="00305EB8" w14:paraId="3757FF50" w14:textId="77777777" w:rsidTr="008A40E9">
        <w:trPr>
          <w:trHeight w:val="669"/>
          <w:jc w:val="center"/>
        </w:trPr>
        <w:tc>
          <w:tcPr>
            <w:tcW w:w="0" w:type="auto"/>
            <w:vAlign w:val="center"/>
          </w:tcPr>
          <w:p w14:paraId="6949AEE1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AC6E8FF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BE550C2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Mniejsza lub równa 60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dBW</w:t>
            </w:r>
            <w:proofErr w:type="spellEnd"/>
          </w:p>
        </w:tc>
      </w:tr>
      <w:tr w:rsidR="0037771C" w:rsidRPr="00305EB8" w14:paraId="17247C54" w14:textId="77777777" w:rsidTr="008A40E9">
        <w:trPr>
          <w:jc w:val="center"/>
        </w:trPr>
        <w:tc>
          <w:tcPr>
            <w:tcW w:w="0" w:type="auto"/>
            <w:vAlign w:val="center"/>
          </w:tcPr>
          <w:p w14:paraId="45EA7BE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FA1011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6EB3F94A" w14:textId="1F75DF55" w:rsidR="008A40E9" w:rsidRPr="00305EB8" w:rsidRDefault="0037771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MS Mincho" w:hAnsi="Times" w:cs="Times"/>
                <w:sz w:val="24"/>
                <w:szCs w:val="24"/>
              </w:rPr>
            </w:pPr>
            <w:r w:rsidRPr="00305EB8">
              <w:rPr>
                <w:rFonts w:ascii="Times" w:eastAsia="MS Mincho" w:hAnsi="Times" w:cs="Times"/>
                <w:sz w:val="24"/>
                <w:szCs w:val="24"/>
              </w:rPr>
              <w:t xml:space="preserve">Urządzenia </w:t>
            </w:r>
            <w:r w:rsidR="002F6A2E" w:rsidRPr="00305EB8">
              <w:rPr>
                <w:rFonts w:ascii="Times" w:eastAsia="MS Mincho" w:hAnsi="Times" w:cs="Times"/>
                <w:sz w:val="24"/>
                <w:szCs w:val="24"/>
              </w:rPr>
              <w:t xml:space="preserve">typu </w:t>
            </w:r>
            <w:r w:rsidRPr="00305EB8">
              <w:rPr>
                <w:rFonts w:ascii="Times" w:eastAsia="MS Mincho" w:hAnsi="Times" w:cs="Times"/>
                <w:sz w:val="24"/>
                <w:szCs w:val="24"/>
              </w:rPr>
              <w:t xml:space="preserve">HEST mogą być używane, jeżeli </w:t>
            </w:r>
            <w:r w:rsidR="008A40E9" w:rsidRPr="00305EB8">
              <w:rPr>
                <w:rFonts w:ascii="Times" w:eastAsia="MS Mincho" w:hAnsi="Times" w:cs="Times"/>
                <w:sz w:val="24"/>
                <w:szCs w:val="24"/>
              </w:rPr>
              <w:t>zapewniają zgodność z kryteriami ochrony HIRF statku powietrznego, przy zastosowaniu maksymalnego natężenia pola HIRF wynoszącego 190 V/m w zakresie 14,00-14,25 GHz i 150 V/m w zakresie 29,5-30,0 GHz.</w:t>
            </w:r>
          </w:p>
          <w:p w14:paraId="096F8A97" w14:textId="77777777" w:rsidR="008A40E9" w:rsidRPr="001A1292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MS Mincho" w:hAnsi="Times" w:cs="Times"/>
                <w:sz w:val="24"/>
                <w:szCs w:val="24"/>
              </w:rPr>
              <w:t xml:space="preserve">Urządzenia typu HEST działające z maksymalną mocą </w:t>
            </w:r>
            <w:proofErr w:type="spellStart"/>
            <w:r w:rsidRPr="00305EB8">
              <w:rPr>
                <w:rFonts w:ascii="Times" w:eastAsia="MS Mincho" w:hAnsi="Times" w:cs="Times"/>
                <w:sz w:val="24"/>
                <w:szCs w:val="24"/>
              </w:rPr>
              <w:t>e.i.r.p</w:t>
            </w:r>
            <w:proofErr w:type="spellEnd"/>
            <w:r w:rsidRPr="00305EB8">
              <w:rPr>
                <w:rFonts w:ascii="Times" w:eastAsia="MS Mincho" w:hAnsi="Times" w:cs="Times"/>
                <w:sz w:val="24"/>
                <w:szCs w:val="24"/>
              </w:rPr>
              <w:t>. w sieciach TDMA są dopuszczone do użytkowania po uwzględnieniu cyklu pracy **).</w:t>
            </w:r>
          </w:p>
        </w:tc>
      </w:tr>
    </w:tbl>
    <w:p w14:paraId="6DC26234" w14:textId="77777777" w:rsidR="008A40E9" w:rsidRPr="001A1292" w:rsidRDefault="008A40E9" w:rsidP="008A40E9">
      <w:pPr>
        <w:rPr>
          <w:rFonts w:ascii="Times" w:hAnsi="Times" w:cs="Times"/>
          <w:sz w:val="20"/>
          <w:szCs w:val="20"/>
        </w:rPr>
      </w:pPr>
      <w:r w:rsidRPr="001A1292">
        <w:rPr>
          <w:rFonts w:ascii="Times" w:hAnsi="Times" w:cs="Times"/>
          <w:sz w:val="20"/>
          <w:szCs w:val="20"/>
        </w:rPr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553E4DDD" w14:textId="77777777" w:rsidR="008A40E9" w:rsidRPr="001A1292" w:rsidRDefault="008A40E9" w:rsidP="008A40E9">
      <w:pPr>
        <w:rPr>
          <w:rFonts w:ascii="Times" w:hAnsi="Times" w:cs="Times"/>
          <w:sz w:val="20"/>
          <w:szCs w:val="20"/>
          <w:lang w:val="en-US"/>
        </w:rPr>
      </w:pPr>
      <w:r w:rsidRPr="001A1292">
        <w:rPr>
          <w:rFonts w:ascii="Times" w:hAnsi="Times" w:cs="Times"/>
          <w:sz w:val="20"/>
          <w:szCs w:val="20"/>
          <w:lang w:val="en-US"/>
        </w:rPr>
        <w:t xml:space="preserve">**) </w:t>
      </w:r>
      <w:proofErr w:type="spellStart"/>
      <w:r w:rsidRPr="001A1292">
        <w:rPr>
          <w:rFonts w:ascii="Times" w:hAnsi="Times" w:cs="Times"/>
          <w:sz w:val="20"/>
          <w:szCs w:val="20"/>
          <w:lang w:val="en-US"/>
        </w:rPr>
        <w:t>Cykl</w:t>
      </w:r>
      <w:proofErr w:type="spellEnd"/>
      <w:r w:rsidRPr="001A1292">
        <w:rPr>
          <w:rFonts w:ascii="Times" w:hAnsi="Times" w:cs="Times"/>
          <w:sz w:val="20"/>
          <w:szCs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szCs w:val="20"/>
          <w:lang w:val="en-US"/>
        </w:rPr>
        <w:t>pracy</w:t>
      </w:r>
      <w:proofErr w:type="spellEnd"/>
      <w:r w:rsidRPr="001A1292">
        <w:rPr>
          <w:rFonts w:ascii="Times" w:hAnsi="Times" w:cs="Times"/>
          <w:sz w:val="20"/>
          <w:szCs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szCs w:val="20"/>
          <w:lang w:val="en-US"/>
        </w:rPr>
        <w:t>określono</w:t>
      </w:r>
      <w:proofErr w:type="spellEnd"/>
      <w:r w:rsidRPr="001A1292">
        <w:rPr>
          <w:rFonts w:ascii="Times" w:hAnsi="Times" w:cs="Times"/>
          <w:sz w:val="20"/>
          <w:szCs w:val="20"/>
          <w:lang w:val="en-US"/>
        </w:rPr>
        <w:t xml:space="preserve"> w pkt. 3.3 </w:t>
      </w:r>
      <w:proofErr w:type="spellStart"/>
      <w:r w:rsidRPr="001A1292">
        <w:rPr>
          <w:rFonts w:ascii="Times" w:hAnsi="Times" w:cs="Times"/>
          <w:sz w:val="20"/>
          <w:szCs w:val="20"/>
          <w:lang w:val="en-US"/>
        </w:rPr>
        <w:t>i</w:t>
      </w:r>
      <w:proofErr w:type="spellEnd"/>
      <w:r w:rsidRPr="001A1292">
        <w:rPr>
          <w:rFonts w:ascii="Times" w:hAnsi="Times" w:cs="Times"/>
          <w:sz w:val="20"/>
          <w:szCs w:val="20"/>
          <w:lang w:val="en-US"/>
        </w:rPr>
        <w:t xml:space="preserve"> 3.4 </w:t>
      </w:r>
      <w:proofErr w:type="spellStart"/>
      <w:r w:rsidRPr="001A1292">
        <w:rPr>
          <w:rFonts w:ascii="Times" w:hAnsi="Times" w:cs="Times"/>
          <w:sz w:val="20"/>
          <w:szCs w:val="20"/>
          <w:lang w:val="en-US"/>
        </w:rPr>
        <w:t>Sprawozdania</w:t>
      </w:r>
      <w:proofErr w:type="spellEnd"/>
      <w:r w:rsidRPr="001A1292">
        <w:rPr>
          <w:rFonts w:ascii="Times" w:hAnsi="Times" w:cs="Times"/>
          <w:sz w:val="20"/>
          <w:szCs w:val="20"/>
          <w:lang w:val="en-US"/>
        </w:rPr>
        <w:t xml:space="preserve"> ECC 272 „Earth Stations operating in the frequency bands 4-8 GHz, 12-18 GHz and 18-40 GHz in the vicinity of aircraft (Approved 26 January 2018)”.</w:t>
      </w:r>
    </w:p>
    <w:p w14:paraId="523E038E" w14:textId="77777777" w:rsidR="008A40E9" w:rsidRPr="00305EB8" w:rsidRDefault="008A40E9" w:rsidP="008A40E9">
      <w:pPr>
        <w:rPr>
          <w:rFonts w:ascii="Times" w:hAnsi="Times" w:cs="Times"/>
          <w:lang w:val="en-US"/>
        </w:rPr>
      </w:pPr>
      <w:r w:rsidRPr="00305EB8">
        <w:rPr>
          <w:rFonts w:ascii="Times" w:hAnsi="Times" w:cs="Times"/>
          <w:lang w:val="en-US"/>
        </w:rPr>
        <w:br w:type="page"/>
      </w:r>
    </w:p>
    <w:p w14:paraId="301B4A7C" w14:textId="01C6349E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9044EC" w:rsidRPr="00305EB8">
        <w:rPr>
          <w:rFonts w:ascii="Times" w:hAnsi="Times" w:cs="Times"/>
        </w:rPr>
        <w:t>2</w:t>
      </w:r>
    </w:p>
    <w:p w14:paraId="2205401B" w14:textId="77777777" w:rsidR="008A40E9" w:rsidRPr="001A1292" w:rsidRDefault="008A40E9" w:rsidP="00B770F3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1A1292">
        <w:rPr>
          <w:rStyle w:val="Ppogrubienie"/>
          <w:rFonts w:ascii="Times" w:hAnsi="Times" w:cs="Times"/>
          <w:sz w:val="24"/>
          <w:szCs w:val="24"/>
        </w:rPr>
        <w:t>Urządzenia typu AES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371"/>
        <w:gridCol w:w="6113"/>
      </w:tblGrid>
      <w:tr w:rsidR="008A40E9" w:rsidRPr="00305EB8" w14:paraId="135A3A5F" w14:textId="77777777" w:rsidTr="008A40E9">
        <w:trPr>
          <w:jc w:val="center"/>
        </w:trPr>
        <w:tc>
          <w:tcPr>
            <w:tcW w:w="0" w:type="auto"/>
            <w:vAlign w:val="center"/>
          </w:tcPr>
          <w:p w14:paraId="3E79031B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4378FE9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13CBFA9E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Zakresy częstotliwości, parametry techniczne</w:t>
            </w:r>
          </w:p>
        </w:tc>
      </w:tr>
      <w:tr w:rsidR="008A40E9" w:rsidRPr="00305EB8" w14:paraId="1A44187A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077E001E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7D73BD2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671E8E40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14,0–14,5 GHz</w:t>
            </w:r>
          </w:p>
        </w:tc>
      </w:tr>
      <w:tr w:rsidR="008A40E9" w:rsidRPr="00305EB8" w14:paraId="68DA0B97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416BB106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B730F91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68290617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10,7–11,7 GHz*)</w:t>
            </w:r>
          </w:p>
          <w:p w14:paraId="08DB8716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12,50–12,75 GHz</w:t>
            </w:r>
          </w:p>
        </w:tc>
      </w:tr>
      <w:tr w:rsidR="008A40E9" w:rsidRPr="00305EB8" w14:paraId="22F9C134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0FFB8D54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699174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CFDE2F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Mniejsza lub równa 50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dBW</w:t>
            </w:r>
            <w:proofErr w:type="spellEnd"/>
          </w:p>
        </w:tc>
      </w:tr>
      <w:tr w:rsidR="008A40E9" w:rsidRPr="00305EB8" w14:paraId="441082F7" w14:textId="77777777" w:rsidTr="008A40E9">
        <w:trPr>
          <w:jc w:val="center"/>
        </w:trPr>
        <w:tc>
          <w:tcPr>
            <w:tcW w:w="0" w:type="auto"/>
            <w:vAlign w:val="center"/>
          </w:tcPr>
          <w:p w14:paraId="6275B1B1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82ED048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16F93319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Stacje AES mogą być używane, jeżeli spełniają następujące warunki: </w:t>
            </w:r>
          </w:p>
          <w:p w14:paraId="712A10DC" w14:textId="6F889301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są autoryzowane przez administrację kraju, w którym statek powietrzny jest zarejestrowany; </w:t>
            </w:r>
          </w:p>
          <w:p w14:paraId="75D5AC66" w14:textId="63742DDD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są zgodne z wymaganiami określonymi w normie </w:t>
            </w:r>
            <w:r w:rsidR="00C43BAA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PN-ETSI EN 302 186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; </w:t>
            </w:r>
          </w:p>
          <w:p w14:paraId="2143B539" w14:textId="484590A2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są zgodne z zaleceniem ITU-R M.1643, w tym zasadniczymi wymaganiami odnoszącymi się odpowiednio do ochrony służby stałej (FS) oraz wspólnego wykorzystania zakresów przez służbę radioastronomiczną (RAS) i stacje AES, z uwzględnieniem wymagań zawartych w załącznikach decyzji ECC/DEC/(05)11;</w:t>
            </w:r>
          </w:p>
          <w:p w14:paraId="3D8C2266" w14:textId="6BABF7B8" w:rsidR="008A40E9" w:rsidRPr="001A1292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działają pod kontrolą systemu sterującego siecią.</w:t>
            </w:r>
          </w:p>
        </w:tc>
      </w:tr>
    </w:tbl>
    <w:p w14:paraId="487D0463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7F1E2ED1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br w:type="page"/>
      </w:r>
    </w:p>
    <w:p w14:paraId="43F6F47F" w14:textId="7B1075FC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9044EC" w:rsidRPr="00305EB8">
        <w:rPr>
          <w:rFonts w:ascii="Times" w:hAnsi="Times" w:cs="Times"/>
        </w:rPr>
        <w:t>3</w:t>
      </w:r>
    </w:p>
    <w:p w14:paraId="740E8D9E" w14:textId="77777777" w:rsidR="008A40E9" w:rsidRPr="001A1292" w:rsidRDefault="008A40E9" w:rsidP="00B770F3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1A1292">
        <w:rPr>
          <w:rStyle w:val="Ppogrubienie"/>
          <w:rFonts w:ascii="Times" w:hAnsi="Times" w:cs="Times"/>
          <w:sz w:val="24"/>
          <w:szCs w:val="24"/>
        </w:rPr>
        <w:t>Urządzenia typu ESV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892"/>
        <w:gridCol w:w="5592"/>
      </w:tblGrid>
      <w:tr w:rsidR="008A40E9" w:rsidRPr="00305EB8" w14:paraId="086FF563" w14:textId="77777777" w:rsidTr="008A40E9">
        <w:trPr>
          <w:jc w:val="center"/>
        </w:trPr>
        <w:tc>
          <w:tcPr>
            <w:tcW w:w="0" w:type="auto"/>
            <w:vAlign w:val="center"/>
          </w:tcPr>
          <w:p w14:paraId="6D5BCC4C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75B98102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68971E3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Zakresy częstotliwości, parametry techniczne</w:t>
            </w:r>
          </w:p>
        </w:tc>
      </w:tr>
      <w:tr w:rsidR="008A40E9" w:rsidRPr="00305EB8" w14:paraId="0A2CA04F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4A2587AB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CD28783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53A55EA4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14,0–14,5 GHz</w:t>
            </w:r>
          </w:p>
        </w:tc>
      </w:tr>
      <w:tr w:rsidR="008A40E9" w:rsidRPr="00305EB8" w14:paraId="759860DC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6D0EAB4C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6CE7014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18AE97A5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10,7–11,7 GHz*)</w:t>
            </w:r>
          </w:p>
          <w:p w14:paraId="7CFC4963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12,50–12,75 GHz</w:t>
            </w:r>
          </w:p>
        </w:tc>
      </w:tr>
      <w:tr w:rsidR="008A40E9" w:rsidRPr="00305EB8" w14:paraId="5A9A93CF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71C8C88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EC23046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AC2B4B0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</w:tr>
      <w:tr w:rsidR="008A40E9" w:rsidRPr="00305EB8" w14:paraId="3A93F869" w14:textId="77777777" w:rsidTr="008A40E9">
        <w:trPr>
          <w:jc w:val="center"/>
        </w:trPr>
        <w:tc>
          <w:tcPr>
            <w:tcW w:w="0" w:type="auto"/>
            <w:vAlign w:val="center"/>
          </w:tcPr>
          <w:p w14:paraId="77255E2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F9A55A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0ED51D86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Stacje ESV pracujące w ramach służby stałej satelitarnej mogą być używane, jeżeli spełniają następujące warunki: </w:t>
            </w:r>
          </w:p>
          <w:p w14:paraId="20DA4B2A" w14:textId="56A8A30C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są zgodne z Uchwałą 902 (WRC-03);</w:t>
            </w:r>
          </w:p>
          <w:p w14:paraId="7182478C" w14:textId="17BC615C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są zgodne z wymaganiami określonymi w normie </w:t>
            </w:r>
            <w:r w:rsidR="00C43BAA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PN-ETSI EN 302 340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;</w:t>
            </w:r>
          </w:p>
          <w:p w14:paraId="2DFFB607" w14:textId="5566B23A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posiadają antenę o rozmiarze 0,6 m lub większym; </w:t>
            </w:r>
          </w:p>
          <w:p w14:paraId="45F7013C" w14:textId="59538A3C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działają pod kontrolą systemu sterującego siecią; </w:t>
            </w:r>
          </w:p>
          <w:p w14:paraId="2FF73AB5" w14:textId="580CD7AF" w:rsidR="008A40E9" w:rsidRPr="001A1292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5)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operator sieci ESV sprawujący kontrolę nad transmisjami stacji ESV powiadomił właściwy urząd i dostarczył wymagane dane kontaktowe i techniczne.</w:t>
            </w:r>
          </w:p>
        </w:tc>
      </w:tr>
    </w:tbl>
    <w:p w14:paraId="59ADB8FF" w14:textId="77777777" w:rsidR="008A40E9" w:rsidRPr="001A1292" w:rsidRDefault="008A40E9" w:rsidP="008A40E9">
      <w:pPr>
        <w:rPr>
          <w:rFonts w:ascii="Times" w:hAnsi="Times" w:cs="Times"/>
          <w:sz w:val="20"/>
          <w:szCs w:val="20"/>
        </w:rPr>
      </w:pPr>
      <w:r w:rsidRPr="001A1292">
        <w:rPr>
          <w:rFonts w:ascii="Times" w:hAnsi="Times" w:cs="Times"/>
          <w:sz w:val="20"/>
          <w:szCs w:val="20"/>
        </w:rPr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789EFB34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061801AA" w14:textId="30EFB4BB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9044EC" w:rsidRPr="00305EB8">
        <w:rPr>
          <w:rFonts w:ascii="Times" w:hAnsi="Times" w:cs="Times"/>
        </w:rPr>
        <w:t>4</w:t>
      </w:r>
    </w:p>
    <w:p w14:paraId="62048F54" w14:textId="77777777" w:rsidR="008A40E9" w:rsidRPr="001A1292" w:rsidRDefault="008A40E9" w:rsidP="00B770F3">
      <w:pPr>
        <w:jc w:val="center"/>
        <w:rPr>
          <w:rStyle w:val="Ppogrubienie"/>
          <w:rFonts w:ascii="Times" w:hAnsi="Times" w:cs="Times"/>
          <w:sz w:val="24"/>
          <w:szCs w:val="24"/>
        </w:rPr>
      </w:pPr>
      <w:r w:rsidRPr="001A1292">
        <w:rPr>
          <w:rStyle w:val="Ppogrubienie"/>
          <w:rFonts w:ascii="Times" w:hAnsi="Times" w:cs="Times"/>
          <w:sz w:val="24"/>
          <w:szCs w:val="24"/>
        </w:rPr>
        <w:t>Urządzenia typu HDAFSS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569"/>
        <w:gridCol w:w="5915"/>
      </w:tblGrid>
      <w:tr w:rsidR="008A40E9" w:rsidRPr="00305EB8" w14:paraId="41E082C6" w14:textId="77777777" w:rsidTr="008A40E9">
        <w:trPr>
          <w:jc w:val="center"/>
        </w:trPr>
        <w:tc>
          <w:tcPr>
            <w:tcW w:w="0" w:type="auto"/>
            <w:vAlign w:val="center"/>
          </w:tcPr>
          <w:p w14:paraId="63FB68AC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3EEB828C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6BFC1C8F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Zakresy częstotliwości, parametry techniczne</w:t>
            </w:r>
          </w:p>
        </w:tc>
      </w:tr>
      <w:tr w:rsidR="008A40E9" w:rsidRPr="00305EB8" w14:paraId="365DAE9D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5D05C443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147327B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636860F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29,5-30,0 GHz</w:t>
            </w:r>
          </w:p>
        </w:tc>
      </w:tr>
      <w:tr w:rsidR="008A40E9" w:rsidRPr="00305EB8" w14:paraId="04B97331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43009BAB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960D8C6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 – Ziemia)</w:t>
            </w:r>
          </w:p>
        </w:tc>
        <w:tc>
          <w:tcPr>
            <w:tcW w:w="0" w:type="auto"/>
            <w:vAlign w:val="center"/>
          </w:tcPr>
          <w:p w14:paraId="6368DBC0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17,3–17,7 GHz</w:t>
            </w:r>
          </w:p>
          <w:p w14:paraId="48C33AF4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19,7–20,2 GHz</w:t>
            </w:r>
          </w:p>
        </w:tc>
      </w:tr>
      <w:tr w:rsidR="008A40E9" w:rsidRPr="00305EB8" w14:paraId="3BD01A5C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5984DC64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5907CE01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B76E8D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[-]</w:t>
            </w:r>
          </w:p>
        </w:tc>
      </w:tr>
      <w:tr w:rsidR="008A40E9" w:rsidRPr="00305EB8" w14:paraId="6EF2DEC9" w14:textId="77777777" w:rsidTr="008A40E9">
        <w:trPr>
          <w:jc w:val="center"/>
        </w:trPr>
        <w:tc>
          <w:tcPr>
            <w:tcW w:w="0" w:type="auto"/>
            <w:vAlign w:val="center"/>
          </w:tcPr>
          <w:p w14:paraId="39901E7A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8EE0D1A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0F799609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Urządzenia HDAFSS pracujące w ramach służby stałej satelitarnej mogą być używane, jeżeli spełniają następujące warunki:</w:t>
            </w:r>
          </w:p>
          <w:p w14:paraId="467D86D9" w14:textId="55E4D7BF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wykorzystanie zakresów częstotliwości określonych w poz. 1 i 2 przez inne zastosowania w ramach służby FSS lub inne służby, dla których te zakresy są przeznaczone, nie ustanawia priorytetu wobec użytkowników tych samych służb; </w:t>
            </w:r>
          </w:p>
          <w:p w14:paraId="58AB19C8" w14:textId="78E121BE" w:rsidR="008A40E9" w:rsidRPr="00305EB8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pracują w zakresie częstotliwości 17,3–17,7 GHz, który pozostaje dostępny dla łączy dosyłowych pracujących w ramach służby BSS;</w:t>
            </w:r>
          </w:p>
          <w:p w14:paraId="3708FD86" w14:textId="35EBC601" w:rsidR="008A40E9" w:rsidRPr="001A1292" w:rsidRDefault="009044EC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uwzględniają dodatkowe wymogi określone decyzj</w:t>
            </w:r>
            <w:r w:rsidR="00E03B1D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ą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ECC/DEC/(06) 03 dla zakresów częstotliwości 19,7–20,2 GHz i 29,5–30,0 GHz.</w:t>
            </w:r>
          </w:p>
        </w:tc>
      </w:tr>
    </w:tbl>
    <w:p w14:paraId="7659AE71" w14:textId="77777777" w:rsidR="008A40E9" w:rsidRPr="00305EB8" w:rsidRDefault="008A40E9" w:rsidP="008A40E9">
      <w:pPr>
        <w:rPr>
          <w:rFonts w:ascii="Times" w:hAnsi="Times" w:cs="Times"/>
        </w:rPr>
      </w:pPr>
    </w:p>
    <w:p w14:paraId="698614C4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57D79CD0" w14:textId="3117EF1A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271089" w:rsidRPr="00305EB8">
        <w:rPr>
          <w:rFonts w:ascii="Times" w:hAnsi="Times" w:cs="Times"/>
        </w:rPr>
        <w:t>5</w:t>
      </w:r>
    </w:p>
    <w:p w14:paraId="05A7A9D6" w14:textId="77777777" w:rsidR="008A40E9" w:rsidRPr="001A1292" w:rsidRDefault="008A40E9" w:rsidP="00B770F3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UESFSS</w:t>
      </w:r>
    </w:p>
    <w:p w14:paraId="0C2B3B28" w14:textId="77777777" w:rsidR="00B770F3" w:rsidRPr="001A1292" w:rsidRDefault="00B770F3" w:rsidP="00B770F3">
      <w:pPr>
        <w:jc w:val="center"/>
        <w:rPr>
          <w:rStyle w:val="Ppogrubienie"/>
          <w:rFonts w:ascii="Times" w:hAnsi="Times" w:cs="Times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361"/>
        <w:gridCol w:w="6123"/>
      </w:tblGrid>
      <w:tr w:rsidR="008A40E9" w:rsidRPr="00305EB8" w14:paraId="6A8F4FAE" w14:textId="77777777" w:rsidTr="008A40E9">
        <w:trPr>
          <w:jc w:val="center"/>
        </w:trPr>
        <w:tc>
          <w:tcPr>
            <w:tcW w:w="0" w:type="auto"/>
            <w:vAlign w:val="center"/>
          </w:tcPr>
          <w:p w14:paraId="71891AC9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33D58622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21879C99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Zakresy częstotliwości, parametry techniczne</w:t>
            </w:r>
          </w:p>
        </w:tc>
      </w:tr>
      <w:tr w:rsidR="008A40E9" w:rsidRPr="00305EB8" w14:paraId="530F041E" w14:textId="77777777" w:rsidTr="008A40E9">
        <w:trPr>
          <w:jc w:val="center"/>
        </w:trPr>
        <w:tc>
          <w:tcPr>
            <w:tcW w:w="0" w:type="auto"/>
            <w:vAlign w:val="center"/>
          </w:tcPr>
          <w:p w14:paraId="16F0A599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90D9AD3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09F96BFE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27,5000–27,8285 GHz,</w:t>
            </w:r>
          </w:p>
          <w:p w14:paraId="40B0B2DC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28,4445–28,9485 GHz</w:t>
            </w:r>
          </w:p>
          <w:p w14:paraId="55CA759E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29,4525–29,5000 GHz</w:t>
            </w:r>
          </w:p>
        </w:tc>
      </w:tr>
      <w:tr w:rsidR="008A40E9" w:rsidRPr="00305EB8" w14:paraId="6D7C6534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021DC4F3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194DC8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24C9D1A5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[-]</w:t>
            </w:r>
          </w:p>
        </w:tc>
      </w:tr>
      <w:tr w:rsidR="008A40E9" w:rsidRPr="00305EB8" w14:paraId="2D2125F9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584379EB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FA91A4B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56274A2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Mniejsza lub równa 60 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dBW</w:t>
            </w:r>
            <w:proofErr w:type="spellEnd"/>
          </w:p>
        </w:tc>
      </w:tr>
      <w:tr w:rsidR="008A40E9" w:rsidRPr="00305EB8" w14:paraId="417C5B25" w14:textId="77777777" w:rsidTr="008A40E9">
        <w:trPr>
          <w:jc w:val="center"/>
        </w:trPr>
        <w:tc>
          <w:tcPr>
            <w:tcW w:w="0" w:type="auto"/>
            <w:vAlign w:val="center"/>
          </w:tcPr>
          <w:p w14:paraId="6BBA80FE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CF391AC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572867FF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Niekoordynowane stacje ziemskie służby stałej satelitarnej nadające w zakresie 27,5-29,5 GHz spełniają następujące wymagania:</w:t>
            </w:r>
          </w:p>
          <w:p w14:paraId="442A8CDC" w14:textId="28ACC661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poziom pozaosiowej gęstości widmowej mocy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wypromieniowanej przez dowolną stację ziemską UESFSS w zakresach częstotliwości przeznaczonych dla służby stałej (27,8285–28,4445 GHz, 28,8365–28,9485 GHz i 28,9485–29,4525 GHz) jest ograniczony do -35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/MHz. Limit ten jest przestrzegany w każdym przypadku przez UESFSS promieniujące pod kątem 3 stopni lub mniejszym w odniesieniu do płaszczyzny lokalnego horyzontu;</w:t>
            </w:r>
          </w:p>
          <w:p w14:paraId="2F6AAAFD" w14:textId="2C40B496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kąt elewacji anteny jest większy niż 3 stopnie;</w:t>
            </w:r>
          </w:p>
          <w:p w14:paraId="2A2E884C" w14:textId="384B4001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systemy służby FSS wykorzystujące niekoordynowane stacje UESFSS w zakresach częstotliwości: 27,5000-27,8285 GHz, 28,4445-28,9485 GHz i 29,4525-29,5000 GHz wdrażają mechanizmy automatycznej kontroli mocy lub automatycznej kontroli wzmocnienia satelitarnego na tych stacjach;</w:t>
            </w:r>
          </w:p>
          <w:p w14:paraId="562FA406" w14:textId="1275ACB8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stacje UESFSS nie używają częstotliwości bliższych niż 10 MHz od skraju pasma używanego przez służbę stałą;</w:t>
            </w:r>
          </w:p>
          <w:p w14:paraId="7CB460E7" w14:textId="30D9FD4D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5)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dla zapewnienia zgodności z kryteriami ochrony HIRF dla statku powietrznego stosuje się maksymalne natężenie pola HIRF wynoszące 150 V/m; </w:t>
            </w:r>
          </w:p>
          <w:p w14:paraId="2EF67F3F" w14:textId="60FC9C26" w:rsidR="008A40E9" w:rsidRPr="001A1292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6)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urządzenia typu UESFSS działające z maksymalną mocą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w sieciach TDMA są dopuszczone do użytkowania po uwzględnieniu cyklu pracy *).</w:t>
            </w:r>
          </w:p>
        </w:tc>
      </w:tr>
    </w:tbl>
    <w:p w14:paraId="5AC16A50" w14:textId="77777777" w:rsidR="008A40E9" w:rsidRPr="001A1292" w:rsidRDefault="008A40E9" w:rsidP="008A40E9">
      <w:pPr>
        <w:rPr>
          <w:rFonts w:ascii="Times" w:hAnsi="Times" w:cs="Times"/>
          <w:sz w:val="20"/>
          <w:lang w:val="en-US"/>
        </w:rPr>
      </w:pPr>
      <w:r w:rsidRPr="001A1292">
        <w:rPr>
          <w:rFonts w:ascii="Times" w:hAnsi="Times" w:cs="Times"/>
          <w:sz w:val="20"/>
          <w:lang w:val="en-US"/>
        </w:rPr>
        <w:t xml:space="preserve">*) </w:t>
      </w:r>
      <w:proofErr w:type="spellStart"/>
      <w:r w:rsidRPr="001A1292">
        <w:rPr>
          <w:rFonts w:ascii="Times" w:hAnsi="Times" w:cs="Times"/>
          <w:sz w:val="20"/>
          <w:lang w:val="en-US"/>
        </w:rPr>
        <w:t>Cykl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lang w:val="en-US"/>
        </w:rPr>
        <w:t>pracy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lang w:val="en-US"/>
        </w:rPr>
        <w:t>określono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w pkt. 3.3 </w:t>
      </w:r>
      <w:proofErr w:type="spellStart"/>
      <w:r w:rsidRPr="001A1292">
        <w:rPr>
          <w:rFonts w:ascii="Times" w:hAnsi="Times" w:cs="Times"/>
          <w:sz w:val="20"/>
          <w:lang w:val="en-US"/>
        </w:rPr>
        <w:t>i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3.4 </w:t>
      </w:r>
      <w:proofErr w:type="spellStart"/>
      <w:r w:rsidRPr="001A1292">
        <w:rPr>
          <w:rFonts w:ascii="Times" w:hAnsi="Times" w:cs="Times"/>
          <w:sz w:val="20"/>
          <w:lang w:val="en-US"/>
        </w:rPr>
        <w:t>Sprawozdania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ECC 272 „Earth Stations operating in the frequency bands 4-8 GHz, 12-18 GHz and 18-40 GHz in the vicinity of aircraft (Approved 26 January 2018)”.</w:t>
      </w:r>
    </w:p>
    <w:p w14:paraId="49187107" w14:textId="77777777" w:rsidR="008A40E9" w:rsidRPr="001A1292" w:rsidRDefault="008A40E9" w:rsidP="008A40E9">
      <w:pPr>
        <w:rPr>
          <w:rFonts w:ascii="Times" w:hAnsi="Times" w:cs="Times"/>
          <w:sz w:val="20"/>
          <w:lang w:val="en-US"/>
        </w:rPr>
      </w:pPr>
      <w:r w:rsidRPr="001A1292">
        <w:rPr>
          <w:rFonts w:ascii="Times" w:hAnsi="Times" w:cs="Times"/>
          <w:sz w:val="20"/>
          <w:lang w:val="en-US"/>
        </w:rPr>
        <w:br w:type="page"/>
      </w:r>
    </w:p>
    <w:p w14:paraId="49B4FDF2" w14:textId="7E3C9102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B14A76" w:rsidRPr="00305EB8">
        <w:rPr>
          <w:rFonts w:ascii="Times" w:hAnsi="Times" w:cs="Times"/>
        </w:rPr>
        <w:t>6</w:t>
      </w:r>
    </w:p>
    <w:p w14:paraId="3F7F160A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FES NGSO FSS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798"/>
        <w:gridCol w:w="5686"/>
      </w:tblGrid>
      <w:tr w:rsidR="008A40E9" w:rsidRPr="00305EB8" w14:paraId="2B8C188A" w14:textId="77777777" w:rsidTr="008A40E9">
        <w:trPr>
          <w:jc w:val="center"/>
        </w:trPr>
        <w:tc>
          <w:tcPr>
            <w:tcW w:w="0" w:type="auto"/>
            <w:vAlign w:val="center"/>
          </w:tcPr>
          <w:p w14:paraId="097D5168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27A8B91B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0ED20EBD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Zakresy częstotliwości, parametry techniczne</w:t>
            </w:r>
          </w:p>
        </w:tc>
      </w:tr>
      <w:tr w:rsidR="008A40E9" w:rsidRPr="00305EB8" w14:paraId="2CC0FA90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38964298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785A09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5C6F168D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14,0–14,5 GHz</w:t>
            </w:r>
          </w:p>
        </w:tc>
      </w:tr>
      <w:tr w:rsidR="008A40E9" w:rsidRPr="00305EB8" w14:paraId="7CA5FF24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025929E7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1A93040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42ACDCF8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10,70–12,75 GHz*)</w:t>
            </w:r>
          </w:p>
        </w:tc>
      </w:tr>
      <w:tr w:rsidR="008A40E9" w:rsidRPr="00305EB8" w14:paraId="34878B9E" w14:textId="77777777" w:rsidTr="008A40E9">
        <w:trPr>
          <w:trHeight w:val="669"/>
          <w:jc w:val="center"/>
        </w:trPr>
        <w:tc>
          <w:tcPr>
            <w:tcW w:w="0" w:type="auto"/>
            <w:vAlign w:val="center"/>
          </w:tcPr>
          <w:p w14:paraId="0739FB3F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6685A68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C611C4C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Mniejsza lub równa 60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dBW</w:t>
            </w:r>
            <w:proofErr w:type="spellEnd"/>
          </w:p>
        </w:tc>
      </w:tr>
      <w:tr w:rsidR="008A40E9" w:rsidRPr="00305EB8" w14:paraId="4C1B0D2D" w14:textId="77777777" w:rsidTr="008A40E9">
        <w:trPr>
          <w:jc w:val="center"/>
        </w:trPr>
        <w:tc>
          <w:tcPr>
            <w:tcW w:w="0" w:type="auto"/>
            <w:vAlign w:val="center"/>
          </w:tcPr>
          <w:p w14:paraId="4F03F78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63CBD2E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43326933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zapewnienia zgodności z kryteriami ochrony HIRF dla statku powietrznego stosuje się maksymalne natężenie pola HIRF wynoszące 190V/m w zakresie 14,0-14,5 GHz.</w:t>
            </w:r>
          </w:p>
          <w:p w14:paraId="7FFA9B0C" w14:textId="77777777" w:rsidR="008A40E9" w:rsidRPr="001A1292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Stacje ziemskie działające z maksymalną mocą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w sieciach TDMA są dopuszczone do użytkowania po uwzględnieniu cyklu pracy **).</w:t>
            </w:r>
          </w:p>
        </w:tc>
      </w:tr>
    </w:tbl>
    <w:p w14:paraId="44D54DE4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4619F5CD" w14:textId="77777777" w:rsidR="008A40E9" w:rsidRPr="001A1292" w:rsidRDefault="008A40E9" w:rsidP="008A40E9">
      <w:pPr>
        <w:rPr>
          <w:rFonts w:ascii="Times" w:hAnsi="Times" w:cs="Times"/>
          <w:sz w:val="20"/>
          <w:lang w:val="en-US"/>
        </w:rPr>
      </w:pPr>
      <w:r w:rsidRPr="001A1292">
        <w:rPr>
          <w:rFonts w:ascii="Times" w:hAnsi="Times" w:cs="Times"/>
          <w:sz w:val="20"/>
          <w:lang w:val="en-US"/>
        </w:rPr>
        <w:t xml:space="preserve">**) </w:t>
      </w:r>
      <w:proofErr w:type="spellStart"/>
      <w:r w:rsidRPr="001A1292">
        <w:rPr>
          <w:rFonts w:ascii="Times" w:hAnsi="Times" w:cs="Times"/>
          <w:sz w:val="20"/>
          <w:lang w:val="en-US"/>
        </w:rPr>
        <w:t>Cykl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lang w:val="en-US"/>
        </w:rPr>
        <w:t>pracy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lang w:val="en-US"/>
        </w:rPr>
        <w:t>określono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w pkt. 3.3 </w:t>
      </w:r>
      <w:proofErr w:type="spellStart"/>
      <w:r w:rsidRPr="001A1292">
        <w:rPr>
          <w:rFonts w:ascii="Times" w:hAnsi="Times" w:cs="Times"/>
          <w:sz w:val="20"/>
          <w:lang w:val="en-US"/>
        </w:rPr>
        <w:t>i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3.4 </w:t>
      </w:r>
      <w:proofErr w:type="spellStart"/>
      <w:r w:rsidRPr="001A1292">
        <w:rPr>
          <w:rFonts w:ascii="Times" w:hAnsi="Times" w:cs="Times"/>
          <w:sz w:val="20"/>
          <w:lang w:val="en-US"/>
        </w:rPr>
        <w:t>Sprawozdania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ECC 272 „Earth Stations operating in the frequency bands 4-8 GHz, 12-18 GHz and 18-40 GHz in the vicinity of aircraft (Approved 26 January 2018)”.</w:t>
      </w:r>
    </w:p>
    <w:p w14:paraId="6CF7885F" w14:textId="77777777" w:rsidR="008A40E9" w:rsidRPr="00305EB8" w:rsidRDefault="008A40E9" w:rsidP="008A40E9">
      <w:pPr>
        <w:rPr>
          <w:rFonts w:ascii="Times" w:hAnsi="Times" w:cs="Times"/>
          <w:lang w:val="en-US"/>
        </w:rPr>
      </w:pPr>
    </w:p>
    <w:p w14:paraId="6F37889D" w14:textId="77777777" w:rsidR="008A40E9" w:rsidRPr="00305EB8" w:rsidRDefault="008A40E9" w:rsidP="008A40E9">
      <w:pPr>
        <w:rPr>
          <w:rFonts w:ascii="Times" w:hAnsi="Times" w:cs="Times"/>
          <w:lang w:val="en-US"/>
        </w:rPr>
      </w:pPr>
      <w:r w:rsidRPr="00305EB8">
        <w:rPr>
          <w:rFonts w:ascii="Times" w:hAnsi="Times" w:cs="Times"/>
          <w:lang w:val="en-US"/>
        </w:rPr>
        <w:br w:type="page"/>
      </w:r>
    </w:p>
    <w:p w14:paraId="4080E2A6" w14:textId="7493EE63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B14A76" w:rsidRPr="00305EB8">
        <w:rPr>
          <w:rFonts w:ascii="Times" w:hAnsi="Times" w:cs="Times"/>
        </w:rPr>
        <w:t>7</w:t>
      </w:r>
    </w:p>
    <w:p w14:paraId="2B83DEA3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ESOMP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296"/>
        <w:gridCol w:w="6188"/>
      </w:tblGrid>
      <w:tr w:rsidR="008A40E9" w:rsidRPr="00305EB8" w14:paraId="60680B6F" w14:textId="77777777" w:rsidTr="008A40E9">
        <w:trPr>
          <w:jc w:val="center"/>
        </w:trPr>
        <w:tc>
          <w:tcPr>
            <w:tcW w:w="0" w:type="auto"/>
            <w:vAlign w:val="center"/>
          </w:tcPr>
          <w:p w14:paraId="7D00CF01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2312579F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11B824CA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Zakresy częstotliwości, parametry techniczne oraz obszar używania urządzeń</w:t>
            </w:r>
          </w:p>
        </w:tc>
      </w:tr>
      <w:tr w:rsidR="008A40E9" w:rsidRPr="00305EB8" w14:paraId="7C30C6CB" w14:textId="77777777" w:rsidTr="008A40E9">
        <w:trPr>
          <w:trHeight w:val="972"/>
          <w:jc w:val="center"/>
        </w:trPr>
        <w:tc>
          <w:tcPr>
            <w:tcW w:w="0" w:type="auto"/>
            <w:vAlign w:val="center"/>
          </w:tcPr>
          <w:p w14:paraId="128B880E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DEF35B0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2CEB680C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27,5000-27,8285 GHz,</w:t>
            </w:r>
          </w:p>
          <w:p w14:paraId="5E03564B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28,4445-28,9485 GHz,</w:t>
            </w:r>
          </w:p>
          <w:p w14:paraId="41127574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29,4525-30,0000 GHz</w:t>
            </w:r>
          </w:p>
        </w:tc>
      </w:tr>
      <w:tr w:rsidR="008A40E9" w:rsidRPr="00305EB8" w14:paraId="179F13B8" w14:textId="77777777" w:rsidTr="008A40E9">
        <w:trPr>
          <w:trHeight w:val="972"/>
          <w:jc w:val="center"/>
        </w:trPr>
        <w:tc>
          <w:tcPr>
            <w:tcW w:w="0" w:type="auto"/>
            <w:vAlign w:val="center"/>
          </w:tcPr>
          <w:p w14:paraId="764749E9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7EB6CB4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0DB5EF04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17,3–20,2 GHz</w:t>
            </w:r>
          </w:p>
        </w:tc>
      </w:tr>
      <w:tr w:rsidR="008A40E9" w:rsidRPr="00305EB8" w14:paraId="24BE2D63" w14:textId="77777777" w:rsidTr="008A40E9">
        <w:trPr>
          <w:jc w:val="center"/>
        </w:trPr>
        <w:tc>
          <w:tcPr>
            <w:tcW w:w="0" w:type="auto"/>
            <w:vAlign w:val="center"/>
          </w:tcPr>
          <w:p w14:paraId="4CC43436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E13E891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CCDBA32" w14:textId="2546C430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urządzeń ESOMP zainstalowanych na statkach powietrznych operujących w granicach lotniska, w tym na ziemi, wynosi 58,4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;</w:t>
            </w:r>
          </w:p>
          <w:p w14:paraId="7B6D00DA" w14:textId="6B967B4E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lądowych urządzeń ESOMP działających w granicach lotniska jest ograniczona do 52,4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;</w:t>
            </w:r>
          </w:p>
          <w:p w14:paraId="1FC6B298" w14:textId="1D91D980" w:rsidR="008A40E9" w:rsidRPr="001A1292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hAnsi="Times" w:cs="Times"/>
                <w:sz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urządzeń ESOMP nieobjęta pkt 1 i 2, poza granicą lotniska lub na statkach, jest ograniczona do 70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1A1292">
              <w:rPr>
                <w:rFonts w:ascii="Times" w:hAnsi="Times" w:cs="Times"/>
                <w:sz w:val="24"/>
              </w:rPr>
              <w:t>.</w:t>
            </w:r>
          </w:p>
        </w:tc>
      </w:tr>
      <w:tr w:rsidR="008A40E9" w:rsidRPr="00305EB8" w14:paraId="542546F8" w14:textId="77777777" w:rsidTr="008A40E9">
        <w:trPr>
          <w:jc w:val="center"/>
        </w:trPr>
        <w:tc>
          <w:tcPr>
            <w:tcW w:w="0" w:type="auto"/>
            <w:vAlign w:val="center"/>
          </w:tcPr>
          <w:p w14:paraId="2EE00356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2ECC1F2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2FD95A99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Urządzenia ESOMP działające w zakresach częstotliwości 17,3–19,7 GHz i 27,5–29,5 GHz dodatkowo spełniają następujące wymagania:</w:t>
            </w:r>
          </w:p>
          <w:p w14:paraId="407578D2" w14:textId="6A2D451F" w:rsidR="008A40E9" w:rsidRPr="00305EB8" w:rsidRDefault="00B14A76" w:rsidP="00265FDA">
            <w:pPr>
              <w:pStyle w:val="Akapitzlist"/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1)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na terytorium danego państwa poziom pozaosiowej gęstości widmowej mocy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wypromieniowanej przez dowolną stację ESOMP w zakresach częstotliwości przeznaczonych dla służby stałej (27,8285–28,4445 GHz, 28,8365–28,9485 GHz i 28,9485–29,4525 GHz) jest ograniczony do -35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/MHz. Limit ten jest przestrzegany w każdym przypadku przez urządzenia pracujące na platformach ESOMP na lądzie, na wodach terytorialnych lub na wodach wewnętrznych, promieniujące pod kątem 3 stopni lub mniejszym w odniesieniu do płaszczyzny lokalnego horyzontu;</w:t>
            </w:r>
          </w:p>
          <w:p w14:paraId="75A8F6F0" w14:textId="22D159FD" w:rsidR="008A40E9" w:rsidRPr="00305EB8" w:rsidRDefault="00B14A76" w:rsidP="00265FDA">
            <w:pPr>
              <w:pStyle w:val="Akapitzlist"/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stacje ESOMP, z wyjątkiem stacji zainstalowanych na statkach lub statkach powietrznych, nie wykorzystują częstotliwości leżących bliżej niż 10 MHz od skraju pasma wykorzystywanego przez służbę stałą;</w:t>
            </w:r>
          </w:p>
          <w:p w14:paraId="6E164F8B" w14:textId="3A5630F8" w:rsidR="008A40E9" w:rsidRPr="00305EB8" w:rsidRDefault="00B14A76" w:rsidP="00265FDA">
            <w:pPr>
              <w:pStyle w:val="Akapitzlist"/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kąt elewacji anteny jest większy niż 3 stopnie;</w:t>
            </w:r>
          </w:p>
          <w:p w14:paraId="68F67929" w14:textId="48B9A94E" w:rsidR="008A40E9" w:rsidRPr="00305EB8" w:rsidRDefault="00B14A76" w:rsidP="00265FDA">
            <w:pPr>
              <w:pStyle w:val="Akapitzlist"/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w przypadku terminali ESOMP zainstalowanych na statku powietrznym wartości PFD (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(W/m2) w referencyjnej szerokości 14 MHz) na ziemi są następujące:</w:t>
            </w:r>
          </w:p>
          <w:p w14:paraId="529308DD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lastRenderedPageBreak/>
              <w:t>-124,7 dla 0° ≤ δ ≤</w:t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ab/>
              <w:t>0,01°</w:t>
            </w:r>
          </w:p>
          <w:p w14:paraId="6DC7E07F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-120,9 + 1,9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0,01° &lt; δ ≤ 0,3°</w:t>
            </w:r>
          </w:p>
          <w:p w14:paraId="27FC5CA7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-116,2 + 11,0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0,3° &lt; δ ≤ 1,0°</w:t>
            </w:r>
          </w:p>
          <w:p w14:paraId="177B3788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-116,2 + 18,0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1,0° &lt; δ ≤ 2,0°</w:t>
            </w:r>
          </w:p>
          <w:p w14:paraId="6D0E0D1B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-117,9 + 23,7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2,0° &lt; δ ≤ 8,0°</w:t>
            </w:r>
          </w:p>
          <w:p w14:paraId="4F19C78F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-96,5 dla 8,0° &lt; δ ≤ 90,0°</w:t>
            </w:r>
          </w:p>
          <w:p w14:paraId="2B099171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gdzie (δ) jest kątem padania na powierzchnię Ziemi (stopnie).</w:t>
            </w:r>
          </w:p>
          <w:p w14:paraId="291D6362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before="40" w:after="160" w:line="259" w:lineRule="auto"/>
              <w:jc w:val="left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Powyższe wartości PFD nie są zdefiniowane dla warunków „w wolnej przestrzeni”. Dlatego przy ocenie zgodności terminala ESOMP z maską PFD należy uwzględnić pochłanianie atmosferyczne i wszelkie tłumienie spowodowane konstrukcją statku powietrznego;</w:t>
            </w:r>
          </w:p>
          <w:p w14:paraId="677A7D71" w14:textId="0435A51C" w:rsidR="008A40E9" w:rsidRPr="00305EB8" w:rsidRDefault="00B14A76" w:rsidP="00265FDA">
            <w:pPr>
              <w:pStyle w:val="Akapitzlist"/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5)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w przypadku terminali ESOMP zainstalowanych na statkach wartość progowa PFD wynosi -109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(W/m2) przy referencyjnej szerokości pasma 14 MHz na wysokości 20 metrów nad średnim poziomem morza podczas największego odpływu;</w:t>
            </w:r>
          </w:p>
          <w:p w14:paraId="612B45E5" w14:textId="0486AEF2" w:rsidR="008A40E9" w:rsidRPr="00305EB8" w:rsidRDefault="00B14A76" w:rsidP="00265FDA">
            <w:pPr>
              <w:pStyle w:val="Akapitzlist"/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6)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w celu zapewnienia zgodności z wymaganiami dotyczącymi PFD określonymi w pkt 4 i 5 terminale ESOMP posiadają funkcje samokontroli i automatyczne mechanizmy (lokalnie lub pod kontrolą NCF) w celu zmniejszenia swojego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lub zaprzestania transmisji.</w:t>
            </w:r>
          </w:p>
        </w:tc>
      </w:tr>
    </w:tbl>
    <w:p w14:paraId="35207DB3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lastRenderedPageBreak/>
        <w:t>gdzie „</w:t>
      </w:r>
      <w:proofErr w:type="spellStart"/>
      <w:r w:rsidRPr="001A1292">
        <w:rPr>
          <w:rFonts w:ascii="Times" w:hAnsi="Times" w:cs="Times"/>
          <w:sz w:val="20"/>
        </w:rPr>
        <w:t>lg</w:t>
      </w:r>
      <w:proofErr w:type="spellEnd"/>
      <w:r w:rsidRPr="001A1292">
        <w:rPr>
          <w:rFonts w:ascii="Times" w:hAnsi="Times" w:cs="Times"/>
          <w:sz w:val="20"/>
        </w:rPr>
        <w:t>” oznacza logarytm o podstawie 10.</w:t>
      </w:r>
    </w:p>
    <w:p w14:paraId="3A82FB31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4DEB655C" w14:textId="65C1AB86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B14A76" w:rsidRPr="00305EB8">
        <w:rPr>
          <w:rFonts w:ascii="Times" w:hAnsi="Times" w:cs="Times"/>
        </w:rPr>
        <w:t>8</w:t>
      </w:r>
    </w:p>
    <w:p w14:paraId="5A9C5D1A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NGSO ESOMP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328"/>
        <w:gridCol w:w="6156"/>
      </w:tblGrid>
      <w:tr w:rsidR="008A40E9" w:rsidRPr="00305EB8" w14:paraId="7FDF53EF" w14:textId="77777777" w:rsidTr="008A40E9">
        <w:trPr>
          <w:jc w:val="center"/>
        </w:trPr>
        <w:tc>
          <w:tcPr>
            <w:tcW w:w="0" w:type="auto"/>
            <w:vAlign w:val="center"/>
          </w:tcPr>
          <w:p w14:paraId="3BAC90C0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6639FB9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597530D5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Zakresy częstotliwości, parametry techniczne oraz obszar używania urządzeń</w:t>
            </w:r>
          </w:p>
        </w:tc>
      </w:tr>
      <w:tr w:rsidR="008A40E9" w:rsidRPr="00305EB8" w14:paraId="45C02DC5" w14:textId="77777777" w:rsidTr="008A40E9">
        <w:trPr>
          <w:trHeight w:val="972"/>
          <w:jc w:val="center"/>
        </w:trPr>
        <w:tc>
          <w:tcPr>
            <w:tcW w:w="0" w:type="auto"/>
            <w:vAlign w:val="center"/>
          </w:tcPr>
          <w:p w14:paraId="35A401FE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FED4503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7C7D78D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27,5000-27,8285 GHz,</w:t>
            </w:r>
          </w:p>
          <w:p w14:paraId="749136DA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28,4445-28,8365 GHz,</w:t>
            </w:r>
          </w:p>
          <w:p w14:paraId="01F2414F" w14:textId="77777777" w:rsidR="008A40E9" w:rsidRPr="00305EB8" w:rsidRDefault="008A40E9" w:rsidP="008A40E9">
            <w:pPr>
              <w:rPr>
                <w:rFonts w:ascii="Times" w:hAnsi="Times" w:cs="Times"/>
                <w:sz w:val="24"/>
              </w:rPr>
            </w:pPr>
            <w:r w:rsidRPr="00305EB8">
              <w:rPr>
                <w:rFonts w:ascii="Times" w:hAnsi="Times" w:cs="Times"/>
                <w:sz w:val="24"/>
              </w:rPr>
              <w:t>29,5-30,0 GHz</w:t>
            </w:r>
          </w:p>
        </w:tc>
      </w:tr>
      <w:tr w:rsidR="008A40E9" w:rsidRPr="00305EB8" w14:paraId="1BD26A6B" w14:textId="77777777" w:rsidTr="008A40E9">
        <w:trPr>
          <w:trHeight w:val="972"/>
          <w:jc w:val="center"/>
        </w:trPr>
        <w:tc>
          <w:tcPr>
            <w:tcW w:w="0" w:type="auto"/>
            <w:vAlign w:val="center"/>
          </w:tcPr>
          <w:p w14:paraId="78A8AFA3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A670595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5D4E319E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17,30–20,20 GHz</w:t>
            </w:r>
          </w:p>
        </w:tc>
      </w:tr>
      <w:tr w:rsidR="008A40E9" w:rsidRPr="00305EB8" w14:paraId="7CE76E44" w14:textId="77777777" w:rsidTr="008A40E9">
        <w:trPr>
          <w:jc w:val="center"/>
        </w:trPr>
        <w:tc>
          <w:tcPr>
            <w:tcW w:w="0" w:type="auto"/>
            <w:vAlign w:val="center"/>
          </w:tcPr>
          <w:p w14:paraId="7249538C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2172969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D9C44E3" w14:textId="29B4DF73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dla stacji ESOMP pracujących na statkach powietrznych w granicach lotnisk jest ograniczona do 58,4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;</w:t>
            </w:r>
          </w:p>
          <w:p w14:paraId="7F0B8497" w14:textId="5149CF96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dla stacji ESOMP pracujących na lądzie w granicach lotnisk jest ograniczona do 52,4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;</w:t>
            </w:r>
          </w:p>
          <w:p w14:paraId="77EA9AAD" w14:textId="5346E02C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dla stacji ESOMP pracujących na lądzie poza granicami lotnisk jest ograniczona do 70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;</w:t>
            </w:r>
          </w:p>
          <w:p w14:paraId="7E3CC891" w14:textId="3DF91312" w:rsidR="008A40E9" w:rsidRPr="001A1292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hAnsi="Times" w:cs="Times"/>
                <w:sz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maksymalna moc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dla stacji ESOMP na statkach jest ograniczona do 70 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</w:t>
            </w:r>
          </w:p>
        </w:tc>
      </w:tr>
      <w:tr w:rsidR="008A40E9" w:rsidRPr="00305EB8" w14:paraId="06C7138E" w14:textId="77777777" w:rsidTr="008A40E9">
        <w:trPr>
          <w:jc w:val="center"/>
        </w:trPr>
        <w:tc>
          <w:tcPr>
            <w:tcW w:w="0" w:type="auto"/>
            <w:vAlign w:val="center"/>
          </w:tcPr>
          <w:p w14:paraId="557E0FD4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0320BDC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7AFDDA93" w14:textId="75DD808A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poziom gęstości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. poza kierunkiem maksymalnego promieniowania dla każdej stacji ESOMP w zakresach częstotliwości służby stałej (27,8285-28,4445 GHz i 28,9485-29,1000 GHz) jest ograniczony do -35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/MHz. Limit ten jest przestrzegany w każdym przypadku przez urządzenia ESOMP na lądzie, na wodach terytorialnych lub na wodach wewnętrznych, promieniującego pod kątem 3 stopni lub mniejszym w odniesieniu do płaszczyzny lokalnego horyzontu;</w:t>
            </w:r>
          </w:p>
          <w:p w14:paraId="77B72991" w14:textId="7B65BEC7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stacje ESOMP nie wykorzystują częstotliwości leżących bliżej niż 10 MHz od skraju pasma wykorzystywanego przez służbę stałą;</w:t>
            </w:r>
          </w:p>
          <w:p w14:paraId="48C29CBB" w14:textId="34FF4F6A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kąt elewacji anteny jest większy niż 3 stopnie;</w:t>
            </w:r>
          </w:p>
          <w:p w14:paraId="6D0391EA" w14:textId="4DBBC6B8" w:rsidR="008A40E9" w:rsidRPr="00305EB8" w:rsidRDefault="00E202B2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dla stacji ESOMP zamontowanych na pokładach statków morskich wartość progowa PFD wynosi -109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(W/m2) przy referencyjnej szerokości pasma 14 MHz na wysokości 20 metrów nad średnim poziomem morza podczas największego odpływu;</w:t>
            </w:r>
          </w:p>
          <w:p w14:paraId="3D01B1FF" w14:textId="287825DA" w:rsidR="008A40E9" w:rsidRPr="00305EB8" w:rsidRDefault="00E202B2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5</w:t>
            </w:r>
            <w:r w:rsidR="00B14A76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stacji ESOMP zamontowanych na pokładach statków powietrznych wartości PFD przy referencyjnej szerokości pasma 14 MHz na powierzchni Ziemi są następujące:</w:t>
            </w:r>
          </w:p>
          <w:p w14:paraId="05166460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-124,7 dla 0° ≤ δ ≤ 0,01°</w:t>
            </w:r>
          </w:p>
          <w:p w14:paraId="47155718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-120,9 + 1,9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0,01° &lt; δ ≤ 0,3°</w:t>
            </w:r>
          </w:p>
          <w:p w14:paraId="18BB119B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-116,2 + 11,0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0,3° &lt; δ ≤ 1,0°</w:t>
            </w:r>
          </w:p>
          <w:p w14:paraId="5B9F31A3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-116,2 + 18,0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1,0° &lt; δ ≤ 2,0°</w:t>
            </w:r>
          </w:p>
          <w:p w14:paraId="05401B40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-117,9 + 23,7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lg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(δ) dla 2,0° &lt; δ ≤ 8,0°</w:t>
            </w:r>
          </w:p>
          <w:p w14:paraId="07622259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lastRenderedPageBreak/>
              <w:t>-96,5 dla 8,0° &lt; δ ≤ 90,0°</w:t>
            </w:r>
          </w:p>
          <w:p w14:paraId="5ACC575E" w14:textId="77777777" w:rsidR="008A40E9" w:rsidRPr="00305EB8" w:rsidRDefault="008A40E9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gdzie (δ) jest kątem padania na powierzchnię Ziemi (stopnie);</w:t>
            </w:r>
          </w:p>
          <w:p w14:paraId="6C40A356" w14:textId="3FC7C5DB" w:rsidR="008A40E9" w:rsidRPr="00305EB8" w:rsidRDefault="00B14A76" w:rsidP="00265FDA">
            <w:pPr>
              <w:widowControl/>
              <w:autoSpaceDE/>
              <w:autoSpaceDN/>
              <w:adjustRightInd/>
              <w:spacing w:after="160" w:line="259" w:lineRule="auto"/>
              <w:ind w:left="360" w:hanging="325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6)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w celu zapewnienia zgodności z wymaganiami dotyczącymi PFD określonymi w pkt 4 terminale ESOMP posiadają funkcje samokontroli i automatyczne mechanizmy (lokalnie lub pod kontrolą NCF) w celu zmniejszenia swojego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lub zaprzestania transmisji.</w:t>
            </w:r>
          </w:p>
        </w:tc>
      </w:tr>
    </w:tbl>
    <w:p w14:paraId="1E45E510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lastRenderedPageBreak/>
        <w:t>gdzie „</w:t>
      </w:r>
      <w:proofErr w:type="spellStart"/>
      <w:r w:rsidRPr="001A1292">
        <w:rPr>
          <w:rFonts w:ascii="Times" w:hAnsi="Times" w:cs="Times"/>
          <w:sz w:val="20"/>
        </w:rPr>
        <w:t>lg</w:t>
      </w:r>
      <w:proofErr w:type="spellEnd"/>
      <w:r w:rsidRPr="001A1292">
        <w:rPr>
          <w:rFonts w:ascii="Times" w:hAnsi="Times" w:cs="Times"/>
          <w:sz w:val="20"/>
        </w:rPr>
        <w:t>” oznacza logarytm o podstawie 10.</w:t>
      </w:r>
    </w:p>
    <w:p w14:paraId="7A714C4F" w14:textId="77777777" w:rsidR="008A40E9" w:rsidRPr="00305EB8" w:rsidRDefault="008A40E9" w:rsidP="008A40E9">
      <w:pPr>
        <w:rPr>
          <w:rFonts w:ascii="Times" w:hAnsi="Times" w:cs="Times"/>
        </w:rPr>
      </w:pPr>
    </w:p>
    <w:p w14:paraId="67896710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1D43AE1A" w14:textId="51DE17C8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 xml:space="preserve">Wykaz nr </w:t>
      </w:r>
      <w:r w:rsidR="00E202B2" w:rsidRPr="00305EB8">
        <w:rPr>
          <w:rFonts w:ascii="Times" w:hAnsi="Times" w:cs="Times"/>
        </w:rPr>
        <w:t>9</w:t>
      </w:r>
    </w:p>
    <w:p w14:paraId="487AD464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GSO ESIM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4556"/>
        <w:gridCol w:w="3928"/>
      </w:tblGrid>
      <w:tr w:rsidR="008A40E9" w:rsidRPr="00305EB8" w14:paraId="0D359B4F" w14:textId="77777777" w:rsidTr="008A40E9">
        <w:trPr>
          <w:jc w:val="center"/>
        </w:trPr>
        <w:tc>
          <w:tcPr>
            <w:tcW w:w="0" w:type="auto"/>
            <w:vAlign w:val="center"/>
          </w:tcPr>
          <w:p w14:paraId="2B32DBF8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592D7230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3F82850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Zakresy częstotliwości, parametry techniczne</w:t>
            </w:r>
          </w:p>
        </w:tc>
      </w:tr>
      <w:tr w:rsidR="008A40E9" w:rsidRPr="00305EB8" w14:paraId="18678E17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5C93E9A8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177C892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5B564A27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14,0–14,5 GHz</w:t>
            </w:r>
          </w:p>
        </w:tc>
      </w:tr>
      <w:tr w:rsidR="008A40E9" w:rsidRPr="00305EB8" w14:paraId="5F0E7C2E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57C2CC9D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308F14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4CEDEF9F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10,70–12,75 GHz *)</w:t>
            </w:r>
          </w:p>
        </w:tc>
      </w:tr>
      <w:tr w:rsidR="008A40E9" w:rsidRPr="00305EB8" w14:paraId="5A179FA7" w14:textId="77777777" w:rsidTr="008A40E9">
        <w:trPr>
          <w:trHeight w:val="669"/>
          <w:jc w:val="center"/>
        </w:trPr>
        <w:tc>
          <w:tcPr>
            <w:tcW w:w="0" w:type="auto"/>
            <w:vAlign w:val="center"/>
          </w:tcPr>
          <w:p w14:paraId="49BECD3F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7D4D03D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A4592A4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Mniejsza lub równa 54,5 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dBW</w:t>
            </w:r>
            <w:proofErr w:type="spellEnd"/>
          </w:p>
        </w:tc>
      </w:tr>
    </w:tbl>
    <w:p w14:paraId="5754B018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66F46E2B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4A336593" w14:textId="50434745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>Wykaz nr 1</w:t>
      </w:r>
      <w:r w:rsidR="00E202B2" w:rsidRPr="00305EB8">
        <w:rPr>
          <w:rFonts w:ascii="Times" w:hAnsi="Times" w:cs="Times"/>
        </w:rPr>
        <w:t>0</w:t>
      </w:r>
    </w:p>
    <w:p w14:paraId="30CC9F35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NGSO ESIM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485"/>
        <w:gridCol w:w="5999"/>
      </w:tblGrid>
      <w:tr w:rsidR="008A40E9" w:rsidRPr="00305EB8" w14:paraId="77A03026" w14:textId="77777777" w:rsidTr="008A40E9">
        <w:trPr>
          <w:jc w:val="center"/>
        </w:trPr>
        <w:tc>
          <w:tcPr>
            <w:tcW w:w="0" w:type="auto"/>
            <w:vAlign w:val="center"/>
          </w:tcPr>
          <w:p w14:paraId="35046FD3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0642B4A4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4818B9E4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Zakresy częstotliwości, parametry techniczne</w:t>
            </w:r>
          </w:p>
        </w:tc>
      </w:tr>
      <w:tr w:rsidR="008A40E9" w:rsidRPr="00305EB8" w14:paraId="78B2C254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57641737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5DB8B1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42740A0F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14,0–14,5 GHz</w:t>
            </w:r>
          </w:p>
        </w:tc>
      </w:tr>
      <w:tr w:rsidR="008A40E9" w:rsidRPr="00305EB8" w14:paraId="00EBF0AC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7CD60B65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A801DB3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6000272E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10,70–12,75 GHz *)</w:t>
            </w:r>
          </w:p>
        </w:tc>
      </w:tr>
      <w:tr w:rsidR="008A40E9" w:rsidRPr="00305EB8" w14:paraId="73704DF2" w14:textId="77777777" w:rsidTr="008A40E9">
        <w:trPr>
          <w:trHeight w:val="669"/>
          <w:jc w:val="center"/>
        </w:trPr>
        <w:tc>
          <w:tcPr>
            <w:tcW w:w="0" w:type="auto"/>
            <w:vAlign w:val="center"/>
          </w:tcPr>
          <w:p w14:paraId="767CAB9B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27D05132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DC7C227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Mniejsza lub równa 54,5 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dBW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8A40E9" w:rsidRPr="00305EB8" w14:paraId="47730960" w14:textId="77777777" w:rsidTr="008A40E9">
        <w:trPr>
          <w:jc w:val="center"/>
        </w:trPr>
        <w:tc>
          <w:tcPr>
            <w:tcW w:w="0" w:type="auto"/>
            <w:vAlign w:val="center"/>
          </w:tcPr>
          <w:p w14:paraId="366B3FD1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B7BF4FD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6D72735C" w14:textId="55F43999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zakresu częstotliwości 14,25-14,5 GHz, w celu ochrony systemów służby stałej, stosuje się wartości progowe PFD określone w pkt 2-4;</w:t>
            </w:r>
          </w:p>
          <w:p w14:paraId="5AC08E60" w14:textId="246FE931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ESIM zamontowanych na statkach powietrznych wartości progowe PFD na powierzchni Ziemi są następujące:</w:t>
            </w:r>
          </w:p>
          <w:p w14:paraId="2822DFC1" w14:textId="77777777" w:rsidR="008A40E9" w:rsidRPr="00305EB8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-122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(W/(m² • MHz)) dla </w:t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sym w:font="Symbol" w:char="F071"/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≤ 5°</w:t>
            </w:r>
          </w:p>
          <w:p w14:paraId="5CEEB1A6" w14:textId="77777777" w:rsidR="008A40E9" w:rsidRPr="00305EB8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-127 + </w:t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sym w:font="Symbol" w:char="F071"/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(W/(m² </w:t>
            </w:r>
            <m:oMath>
              <m:r>
                <m:rPr>
                  <m:sty m:val="p"/>
                </m:rPr>
                <w:rPr>
                  <w:rFonts w:ascii="Cambria Math" w:eastAsia="Times" w:hAnsi="Cambria Math" w:cs="Times"/>
                  <w:sz w:val="24"/>
                  <w:szCs w:val="24"/>
                  <w:lang w:eastAsia="en-US"/>
                </w:rPr>
                <m:t>•</m:t>
              </m:r>
            </m:oMath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MHz)) dla 5° &lt; </w:t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sym w:font="Symbol" w:char="F071"/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≤ 40°</w:t>
            </w:r>
          </w:p>
          <w:p w14:paraId="4C221288" w14:textId="77777777" w:rsidR="008A40E9" w:rsidRPr="00305EB8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-87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(W/(m² • MHz)) dla 40° &lt;</w:t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sym w:font="Symbol" w:char="F071"/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≤ 90°</w:t>
            </w:r>
          </w:p>
          <w:p w14:paraId="522DD474" w14:textId="77777777" w:rsidR="008A40E9" w:rsidRPr="00305EB8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gdzie </w:t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sym w:font="Symbol" w:char="F071"/>
            </w: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jest kątem nadejścia fali radiowej (stopnie powyżej płaszczyzny horyzontalnej);</w:t>
            </w:r>
          </w:p>
          <w:p w14:paraId="433C594E" w14:textId="7C2B0CA6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dla terminali ESIM zainstalowanych na pokładach statków morskich wartość progowa PFD wynosi -116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/m2/MHz na wysokości 80 metrów nad średnim poziomem morza podczas największego odpływu;</w:t>
            </w:r>
          </w:p>
          <w:p w14:paraId="7D3AE624" w14:textId="192C7564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4)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dla terminali ESIM na lądzie wartość progowa PFD wynosi -116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/m2/MHz na wysokości 30 metrów nad poziomem terenu;</w:t>
            </w:r>
          </w:p>
          <w:p w14:paraId="579BE6FE" w14:textId="3E69A90A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5)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zakresu częstotliwości 14,47-14,50 GHz terminale ESIM zamontowane na statkach powietrznych są zdolne do zaprzestania emisji, gdy znajdą się w bezpośredniej widoczności stacji RAS prowadzącej obserwacje w tym zakresie częstotliwości;</w:t>
            </w:r>
          </w:p>
          <w:p w14:paraId="12F9781E" w14:textId="3C8A0284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6)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zakresu częstotliwości 14,47-14,50 GHz nie zostają przekroczone wartości progowe PFD określone w pkt 7 oraz 8;</w:t>
            </w:r>
          </w:p>
          <w:p w14:paraId="0781C236" w14:textId="40120652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7)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dla terminali ESIM zainstalowanych na pokładach statków morskich wartość progowa PFD wynosząca -169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/m2/(150 kHz) nie jest przekraczana </w:t>
            </w:r>
            <w:r w:rsidR="00E03B1D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przez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więcej niż 2% czasu;</w:t>
            </w:r>
          </w:p>
          <w:p w14:paraId="180444A5" w14:textId="0E8952FB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8)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dla terminali ESIM na lądzie wartość progowa PFD wynosząca -169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dBW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/m2/(150 kHz) nie jest przekraczana więcej </w:t>
            </w:r>
            <w:r w:rsidR="00E03B1D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przez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niż 2% czasu;</w:t>
            </w:r>
          </w:p>
          <w:p w14:paraId="76CA3C2A" w14:textId="6C07644D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ind w:left="360" w:hanging="360"/>
              <w:contextualSpacing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lastRenderedPageBreak/>
              <w:t xml:space="preserve">9)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terminale ESIM posiadają funkcje samokontroli i automatyczne mechanizmy (lokalnie lub pod kontrolą NCF) w celu zmniejszenia swojego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lub zaprzestania transmisji.</w:t>
            </w:r>
          </w:p>
        </w:tc>
      </w:tr>
    </w:tbl>
    <w:p w14:paraId="233B73EE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lastRenderedPageBreak/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3ADB32F3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063E64AE" w14:textId="45411CD5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>Wykaz nr 1</w:t>
      </w:r>
      <w:r w:rsidR="00E202B2" w:rsidRPr="00305EB8">
        <w:rPr>
          <w:rFonts w:ascii="Times" w:hAnsi="Times" w:cs="Times"/>
        </w:rPr>
        <w:t>1</w:t>
      </w:r>
    </w:p>
    <w:p w14:paraId="22A916DE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VSAT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772"/>
        <w:gridCol w:w="5712"/>
      </w:tblGrid>
      <w:tr w:rsidR="008A40E9" w:rsidRPr="00305EB8" w14:paraId="52150091" w14:textId="77777777" w:rsidTr="008A40E9">
        <w:trPr>
          <w:jc w:val="center"/>
        </w:trPr>
        <w:tc>
          <w:tcPr>
            <w:tcW w:w="0" w:type="auto"/>
            <w:vAlign w:val="center"/>
          </w:tcPr>
          <w:p w14:paraId="4BDF0A34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469758A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373046B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Zakresy częstotliwości, parametry techniczne</w:t>
            </w:r>
          </w:p>
        </w:tc>
      </w:tr>
      <w:tr w:rsidR="008A40E9" w:rsidRPr="00305EB8" w14:paraId="2597456D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0AC395B8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C535B8F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74EC3AC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14,25–14,50 GHz</w:t>
            </w:r>
          </w:p>
        </w:tc>
      </w:tr>
      <w:tr w:rsidR="008A40E9" w:rsidRPr="00305EB8" w14:paraId="2DCAE714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374F205E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19991B5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odbiorczych (kosmos–Ziemia)</w:t>
            </w:r>
          </w:p>
        </w:tc>
        <w:tc>
          <w:tcPr>
            <w:tcW w:w="0" w:type="auto"/>
            <w:vAlign w:val="center"/>
          </w:tcPr>
          <w:p w14:paraId="2B77CB9C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10,7–11,7 GHz*)</w:t>
            </w:r>
          </w:p>
        </w:tc>
      </w:tr>
      <w:tr w:rsidR="008A40E9" w:rsidRPr="00305EB8" w14:paraId="08BEC2E1" w14:textId="77777777" w:rsidTr="008A40E9">
        <w:trPr>
          <w:trHeight w:val="669"/>
          <w:jc w:val="center"/>
        </w:trPr>
        <w:tc>
          <w:tcPr>
            <w:tcW w:w="0" w:type="auto"/>
            <w:vAlign w:val="center"/>
          </w:tcPr>
          <w:p w14:paraId="5C0FC813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47B6AA0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DB66147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Mniejsza lub równa 50 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dBW</w:t>
            </w:r>
            <w:proofErr w:type="spellEnd"/>
          </w:p>
        </w:tc>
      </w:tr>
      <w:tr w:rsidR="008A40E9" w:rsidRPr="00305EB8" w14:paraId="3791B5F7" w14:textId="77777777" w:rsidTr="008A40E9">
        <w:trPr>
          <w:jc w:val="center"/>
        </w:trPr>
        <w:tc>
          <w:tcPr>
            <w:tcW w:w="0" w:type="auto"/>
            <w:vAlign w:val="center"/>
          </w:tcPr>
          <w:p w14:paraId="1946DC60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E810FEA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484C50F6" w14:textId="3D3D3B9E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Dla zapewnienia zgodności z kryteriami ochrony HIRF dla statku powietrznego stosuje się maksymalne natężenie pola HIRF wynoszące 190 V/m w zakresie 14,25-14,50 GHz.</w:t>
            </w:r>
          </w:p>
          <w:p w14:paraId="32CAB5C0" w14:textId="0BF95A47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Stacje ziemskie działające z maksymalną mocą </w:t>
            </w:r>
            <w:proofErr w:type="spellStart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e.i.r.p</w:t>
            </w:r>
            <w:proofErr w:type="spellEnd"/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 w sieciach TDMA są dopuszczone do użytkowania po uwzględnieniu cyklu pracy **).</w:t>
            </w:r>
          </w:p>
          <w:p w14:paraId="25AB4C10" w14:textId="5236DEEE" w:rsidR="008A40E9" w:rsidRPr="001A1292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Urządzenia VSAT spełniają wymagania określone w normie </w:t>
            </w:r>
            <w:r w:rsidR="00C43BAA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PN-ETSI EN 301 428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.</w:t>
            </w:r>
          </w:p>
        </w:tc>
      </w:tr>
    </w:tbl>
    <w:p w14:paraId="6BFE8863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t>*) Wykorzystywanie zakresu częstotliwości 10,70–11,70 GHz do odbioru związane jest z ryzykiem występowania szkodliwych zakłóceń ze strony urządzeń w służbie stałej typu punkt-punkt (linii radiowych) pracujących na podstawie wydanych pozwoleń radiowych.</w:t>
      </w:r>
    </w:p>
    <w:p w14:paraId="1EC33EFE" w14:textId="77777777" w:rsidR="008A40E9" w:rsidRPr="008E4734" w:rsidRDefault="008A40E9" w:rsidP="008A40E9">
      <w:pPr>
        <w:rPr>
          <w:rFonts w:ascii="Times" w:hAnsi="Times" w:cs="Times"/>
          <w:sz w:val="20"/>
          <w:lang w:val="en-US"/>
        </w:rPr>
      </w:pPr>
      <w:r w:rsidRPr="001A1292">
        <w:rPr>
          <w:rFonts w:ascii="Times" w:hAnsi="Times" w:cs="Times"/>
          <w:sz w:val="20"/>
          <w:lang w:val="en-US"/>
        </w:rPr>
        <w:t xml:space="preserve">**) </w:t>
      </w:r>
      <w:proofErr w:type="spellStart"/>
      <w:r w:rsidRPr="001A1292">
        <w:rPr>
          <w:rFonts w:ascii="Times" w:hAnsi="Times" w:cs="Times"/>
          <w:sz w:val="20"/>
          <w:lang w:val="en-US"/>
        </w:rPr>
        <w:t>Cykl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lang w:val="en-US"/>
        </w:rPr>
        <w:t>pracy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</w:t>
      </w:r>
      <w:proofErr w:type="spellStart"/>
      <w:r w:rsidRPr="001A1292">
        <w:rPr>
          <w:rFonts w:ascii="Times" w:hAnsi="Times" w:cs="Times"/>
          <w:sz w:val="20"/>
          <w:lang w:val="en-US"/>
        </w:rPr>
        <w:t>określono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w pkt. 3.3 </w:t>
      </w:r>
      <w:proofErr w:type="spellStart"/>
      <w:r w:rsidRPr="001A1292">
        <w:rPr>
          <w:rFonts w:ascii="Times" w:hAnsi="Times" w:cs="Times"/>
          <w:sz w:val="20"/>
          <w:lang w:val="en-US"/>
        </w:rPr>
        <w:t>i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3.4 </w:t>
      </w:r>
      <w:proofErr w:type="spellStart"/>
      <w:r w:rsidRPr="001A1292">
        <w:rPr>
          <w:rFonts w:ascii="Times" w:hAnsi="Times" w:cs="Times"/>
          <w:sz w:val="20"/>
          <w:lang w:val="en-US"/>
        </w:rPr>
        <w:t>Sprawozdania</w:t>
      </w:r>
      <w:proofErr w:type="spellEnd"/>
      <w:r w:rsidRPr="001A1292">
        <w:rPr>
          <w:rFonts w:ascii="Times" w:hAnsi="Times" w:cs="Times"/>
          <w:sz w:val="20"/>
          <w:lang w:val="en-US"/>
        </w:rPr>
        <w:t xml:space="preserve"> ECC 272 „Earth Stations operating in the frequency bands 4-8 GHz, 12-18 GHz and 18-40 GHz in the vicinity of aircraft (Approved 26 January 2018)”.</w:t>
      </w:r>
    </w:p>
    <w:p w14:paraId="43546805" w14:textId="77777777" w:rsidR="008A40E9" w:rsidRPr="00305EB8" w:rsidRDefault="008A40E9" w:rsidP="008A40E9">
      <w:pPr>
        <w:rPr>
          <w:rFonts w:ascii="Times" w:hAnsi="Times" w:cs="Times"/>
          <w:lang w:val="en-US"/>
        </w:rPr>
      </w:pPr>
    </w:p>
    <w:p w14:paraId="1827682D" w14:textId="77777777" w:rsidR="008A40E9" w:rsidRPr="00305EB8" w:rsidRDefault="008A40E9" w:rsidP="008A40E9">
      <w:pPr>
        <w:rPr>
          <w:rFonts w:ascii="Times" w:hAnsi="Times" w:cs="Times"/>
          <w:lang w:val="en-US"/>
        </w:rPr>
      </w:pPr>
      <w:r w:rsidRPr="00305EB8">
        <w:rPr>
          <w:rFonts w:ascii="Times" w:hAnsi="Times" w:cs="Times"/>
          <w:lang w:val="en-US"/>
        </w:rPr>
        <w:br w:type="page"/>
      </w:r>
    </w:p>
    <w:p w14:paraId="3AD45074" w14:textId="1E133731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>Wykaz nr 1</w:t>
      </w:r>
      <w:r w:rsidR="00E202B2" w:rsidRPr="00305EB8">
        <w:rPr>
          <w:rFonts w:ascii="Times" w:hAnsi="Times" w:cs="Times"/>
        </w:rPr>
        <w:t>2</w:t>
      </w:r>
    </w:p>
    <w:p w14:paraId="7E1F3E44" w14:textId="70199B01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MES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503"/>
        <w:gridCol w:w="5981"/>
      </w:tblGrid>
      <w:tr w:rsidR="008A40E9" w:rsidRPr="00305EB8" w14:paraId="659FC8FA" w14:textId="77777777" w:rsidTr="008A40E9">
        <w:trPr>
          <w:jc w:val="center"/>
        </w:trPr>
        <w:tc>
          <w:tcPr>
            <w:tcW w:w="0" w:type="auto"/>
            <w:vAlign w:val="center"/>
          </w:tcPr>
          <w:p w14:paraId="0FA4A586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3A6ED208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487C5A44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8E4734">
              <w:rPr>
                <w:rFonts w:ascii="Times" w:hAnsi="Times" w:cs="Times"/>
                <w:sz w:val="24"/>
              </w:rPr>
              <w:t>Zakresy częstotliwości, parametry techniczne oraz inne warunki używania urządzeń</w:t>
            </w:r>
          </w:p>
        </w:tc>
      </w:tr>
      <w:tr w:rsidR="008A40E9" w:rsidRPr="00305EB8" w14:paraId="07C4D096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3DEE1CB3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72CFDEDC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2BA583FA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1613,8 – 1626,5 MHz</w:t>
            </w:r>
          </w:p>
        </w:tc>
      </w:tr>
      <w:tr w:rsidR="008A40E9" w:rsidRPr="00305EB8" w14:paraId="59675105" w14:textId="77777777" w:rsidTr="008A40E9">
        <w:trPr>
          <w:trHeight w:val="668"/>
          <w:jc w:val="center"/>
        </w:trPr>
        <w:tc>
          <w:tcPr>
            <w:tcW w:w="0" w:type="auto"/>
            <w:vAlign w:val="center"/>
          </w:tcPr>
          <w:p w14:paraId="2482B7E7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45D5CF3E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Zakres częstotliwości odbiorczych (kosmos-Ziemia)</w:t>
            </w:r>
          </w:p>
        </w:tc>
        <w:tc>
          <w:tcPr>
            <w:tcW w:w="0" w:type="auto"/>
            <w:vAlign w:val="center"/>
          </w:tcPr>
          <w:p w14:paraId="367C4B73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1613,8 – 1626,5 MHz</w:t>
            </w:r>
          </w:p>
        </w:tc>
      </w:tr>
      <w:tr w:rsidR="008A40E9" w:rsidRPr="00305EB8" w14:paraId="255673DA" w14:textId="77777777" w:rsidTr="008A40E9">
        <w:trPr>
          <w:trHeight w:val="669"/>
          <w:jc w:val="center"/>
        </w:trPr>
        <w:tc>
          <w:tcPr>
            <w:tcW w:w="0" w:type="auto"/>
            <w:vAlign w:val="center"/>
          </w:tcPr>
          <w:p w14:paraId="6B9C0947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5C1CC82D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7384907" w14:textId="77777777" w:rsidR="008A40E9" w:rsidRPr="008E4734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 xml:space="preserve">Mniejsza lub równa 30 </w:t>
            </w:r>
            <w:proofErr w:type="spellStart"/>
            <w:r w:rsidRPr="001A1292">
              <w:rPr>
                <w:rFonts w:ascii="Times" w:hAnsi="Times" w:cs="Times"/>
                <w:sz w:val="24"/>
              </w:rPr>
              <w:t>dBm</w:t>
            </w:r>
            <w:proofErr w:type="spellEnd"/>
          </w:p>
        </w:tc>
      </w:tr>
      <w:tr w:rsidR="008A40E9" w:rsidRPr="00305EB8" w14:paraId="5457A5D8" w14:textId="77777777" w:rsidTr="008A40E9">
        <w:trPr>
          <w:jc w:val="center"/>
        </w:trPr>
        <w:tc>
          <w:tcPr>
            <w:tcW w:w="0" w:type="auto"/>
            <w:vAlign w:val="center"/>
          </w:tcPr>
          <w:p w14:paraId="00A731AA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2928F477" w14:textId="77777777" w:rsidR="008A40E9" w:rsidRPr="001A1292" w:rsidRDefault="008A40E9" w:rsidP="008A40E9">
            <w:pPr>
              <w:rPr>
                <w:rFonts w:ascii="Times" w:hAnsi="Times" w:cs="Times"/>
                <w:sz w:val="24"/>
              </w:rPr>
            </w:pPr>
            <w:r w:rsidRPr="001A1292">
              <w:rPr>
                <w:rFonts w:ascii="Times" w:hAnsi="Times" w:cs="Times"/>
                <w:sz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23374B6E" w14:textId="77777777" w:rsidR="008A40E9" w:rsidRPr="00305EB8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Urządzenia typu MES wykorzystywane wyłącznie do transmisji Ziemia-kosmos, z wyłączeniem transmisji głosowej, pracujące w ramach służby ruchomej satelitarnej mogą być używane, jeżeli spełniają następujące warunki:</w:t>
            </w:r>
          </w:p>
          <w:p w14:paraId="1B5583E8" w14:textId="6FFABDA4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1)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są identyfikowane przez systemy satelitarne wykorzystywane przez operatora satelity i zaprojektowane w sposób zapewniający ochronę innych użytkowników widma przed niedopuszczalnymi zakłóceniami;</w:t>
            </w:r>
          </w:p>
          <w:p w14:paraId="3AB21B4F" w14:textId="6DA10713" w:rsidR="008A40E9" w:rsidRPr="00305EB8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2)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działają zgodnie z uwagą 5.364 do Regulaminu Radiokomunikacyjnego oraz z zaleceniem ITU-R M.1343;</w:t>
            </w:r>
          </w:p>
          <w:p w14:paraId="5DCE747C" w14:textId="3D8BFD68" w:rsidR="008A40E9" w:rsidRPr="001A1292" w:rsidRDefault="00E202B2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3) </w:t>
            </w:r>
            <w:r w:rsidR="008A40E9"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nie przekraczają maksymalnego cyklu pracy równego 1%, będącego stosunkiem procentowym maksymalnego czasu pracy nadajnika na jednej częstotliwości nośnej do okresu jednej godziny.</w:t>
            </w:r>
          </w:p>
        </w:tc>
      </w:tr>
    </w:tbl>
    <w:p w14:paraId="41821F6B" w14:textId="739A912D" w:rsidR="00A41BC7" w:rsidRPr="00305EB8" w:rsidRDefault="00A41BC7" w:rsidP="008A40E9">
      <w:pPr>
        <w:rPr>
          <w:rFonts w:ascii="Times" w:hAnsi="Times" w:cs="Times"/>
        </w:rPr>
      </w:pPr>
    </w:p>
    <w:p w14:paraId="0BC0585F" w14:textId="77777777" w:rsidR="00A41BC7" w:rsidRPr="00305EB8" w:rsidRDefault="00A41BC7">
      <w:pPr>
        <w:widowControl/>
        <w:autoSpaceDE/>
        <w:autoSpaceDN/>
        <w:adjustRightInd/>
        <w:spacing w:line="360" w:lineRule="auto"/>
        <w:jc w:val="left"/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64F818AD" w14:textId="77777777" w:rsidR="00C113B2" w:rsidRPr="00305EB8" w:rsidRDefault="00C113B2" w:rsidP="00C113B2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>Wykaz nr 13</w:t>
      </w:r>
    </w:p>
    <w:p w14:paraId="1CD782F6" w14:textId="31492C73" w:rsidR="00C113B2" w:rsidRPr="00305EB8" w:rsidRDefault="00C113B2" w:rsidP="0089661E">
      <w:pPr>
        <w:pStyle w:val="ZTIRFRAGMzmnpwprdowyliczeniatiret"/>
        <w:spacing w:line="240" w:lineRule="auto"/>
        <w:rPr>
          <w:rStyle w:val="Ppogrubienie"/>
          <w:rFonts w:ascii="Times" w:hAnsi="Times" w:cs="Times"/>
        </w:rPr>
      </w:pPr>
      <w:r w:rsidRPr="001A1292">
        <w:rPr>
          <w:rStyle w:val="Ppogrubienie"/>
          <w:rFonts w:ascii="Times" w:hAnsi="Times" w:cs="Times"/>
          <w:bCs w:val="0"/>
          <w:color w:val="000000"/>
          <w:szCs w:val="18"/>
        </w:rPr>
        <w:t>Urządzenia typu MES pracujące pod kontrolą sieci satelitarnej</w:t>
      </w:r>
    </w:p>
    <w:tbl>
      <w:tblPr>
        <w:tblW w:w="9015" w:type="dxa"/>
        <w:tblLayout w:type="fixed"/>
        <w:tblLook w:val="06A0" w:firstRow="1" w:lastRow="0" w:firstColumn="1" w:lastColumn="0" w:noHBand="1" w:noVBand="1"/>
      </w:tblPr>
      <w:tblGrid>
        <w:gridCol w:w="699"/>
        <w:gridCol w:w="3544"/>
        <w:gridCol w:w="4772"/>
      </w:tblGrid>
      <w:tr w:rsidR="00C113B2" w:rsidRPr="00305EB8" w14:paraId="080B806C" w14:textId="77777777" w:rsidTr="00B8642B">
        <w:trPr>
          <w:trHeight w:val="30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7D03E" w14:textId="77777777" w:rsidR="00C113B2" w:rsidRPr="00305EB8" w:rsidRDefault="00C113B2" w:rsidP="0089661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C88D5" w14:textId="77777777" w:rsidR="00C113B2" w:rsidRPr="00305EB8" w:rsidRDefault="00C113B2" w:rsidP="0089661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A1099" w14:textId="77777777" w:rsidR="00C113B2" w:rsidRPr="00305EB8" w:rsidRDefault="00C113B2" w:rsidP="0089661E">
            <w:pPr>
              <w:spacing w:line="240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Zakresy częstotliwości, parametry techniczne oraz inne warunki używania</w:t>
            </w:r>
            <w:r w:rsidRPr="00305EB8">
              <w:rPr>
                <w:rFonts w:ascii="Times" w:hAnsi="Times" w:cs="Times"/>
                <w:sz w:val="24"/>
                <w:szCs w:val="24"/>
              </w:rPr>
              <w:t xml:space="preserve"> urządzeń</w:t>
            </w:r>
          </w:p>
        </w:tc>
      </w:tr>
      <w:tr w:rsidR="00C113B2" w:rsidRPr="00305EB8" w14:paraId="0CDC303E" w14:textId="77777777" w:rsidTr="00B8642B">
        <w:trPr>
          <w:trHeight w:val="567"/>
        </w:trPr>
        <w:tc>
          <w:tcPr>
            <w:tcW w:w="9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A639C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A</w:t>
            </w:r>
          </w:p>
        </w:tc>
      </w:tr>
      <w:tr w:rsidR="00C113B2" w:rsidRPr="00305EB8" w14:paraId="01362261" w14:textId="77777777" w:rsidTr="00B8642B">
        <w:trPr>
          <w:trHeight w:val="653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36275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51B9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1037B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1613,5 – 1626,5 MHz</w:t>
            </w:r>
          </w:p>
        </w:tc>
      </w:tr>
      <w:tr w:rsidR="00C113B2" w:rsidRPr="00305EB8" w14:paraId="5E8AA3B6" w14:textId="77777777" w:rsidTr="00B8642B">
        <w:trPr>
          <w:trHeight w:val="83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18DE0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3C8B6A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Zakresy częstotliwości odbiorczych (kosmos-Ziemia)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D39F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1613,8 – 1626,5 MHz</w:t>
            </w:r>
          </w:p>
          <w:p w14:paraId="4565696F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2483.5 – 2500 MHz</w:t>
            </w:r>
          </w:p>
        </w:tc>
      </w:tr>
      <w:tr w:rsidR="00C113B2" w:rsidRPr="00305EB8" w14:paraId="21F66289" w14:textId="77777777" w:rsidTr="00B8642B">
        <w:trPr>
          <w:trHeight w:val="67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75589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92923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305EB8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305EB8">
              <w:rPr>
                <w:rFonts w:ascii="Times" w:hAnsi="Times" w:cs="Times"/>
                <w:sz w:val="24"/>
                <w:szCs w:val="24"/>
              </w:rPr>
              <w:t>. (gęstość widmowa)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BD851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Wartość szczytowa –15 </w:t>
            </w:r>
            <w:proofErr w:type="spellStart"/>
            <w:r w:rsidRPr="00305EB8">
              <w:rPr>
                <w:rFonts w:ascii="Times" w:hAnsi="Times" w:cs="Times"/>
                <w:sz w:val="24"/>
                <w:szCs w:val="24"/>
              </w:rPr>
              <w:t>dB</w:t>
            </w:r>
            <w:proofErr w:type="spellEnd"/>
            <w:r w:rsidRPr="00305EB8">
              <w:rPr>
                <w:rFonts w:ascii="Times" w:hAnsi="Times" w:cs="Times"/>
                <w:sz w:val="24"/>
                <w:szCs w:val="24"/>
              </w:rPr>
              <w:t xml:space="preserve"> (W/4 kHz)</w:t>
            </w:r>
          </w:p>
        </w:tc>
      </w:tr>
      <w:tr w:rsidR="00C113B2" w:rsidRPr="00305EB8" w14:paraId="6A08E935" w14:textId="77777777" w:rsidTr="00B8642B">
        <w:trPr>
          <w:trHeight w:val="30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EE3B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26A9A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0533D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Urządzenia typu MES pracujące pod kontrolą sieci w ramach służby ruchomej satelitarnej spełniają następujące wymagania:</w:t>
            </w:r>
          </w:p>
          <w:p w14:paraId="352614F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1) są identyfikowane przez systemy satelitarne wykorzystywane przez operatora satelity i zaprojektowane w sposób zapewniający ochronę innych użytkowników widma przed niedopuszczalnymi zakłóceniami;</w:t>
            </w:r>
          </w:p>
          <w:p w14:paraId="10FF1E5A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2) działają zgodnie z uwagami 5.364 i 5.372 do Regulaminu Radiokomunikacyjnego oraz z Zaleceniem ITU-R M.1343;</w:t>
            </w:r>
          </w:p>
          <w:p w14:paraId="263C154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3) w celu ochrony służby radioastronomicznej w zakresie częstotliwości 1610,6-1613,8 MHz, ruchome stacje naziemne mogą być wykorzystywane wyłącznie po spełnieniu warunków określonych w decyzji ECC/DEC(09)02.</w:t>
            </w:r>
          </w:p>
        </w:tc>
      </w:tr>
      <w:tr w:rsidR="00C113B2" w:rsidRPr="00305EB8" w14:paraId="355C4807" w14:textId="77777777" w:rsidTr="00B8642B">
        <w:trPr>
          <w:trHeight w:val="567"/>
        </w:trPr>
        <w:tc>
          <w:tcPr>
            <w:tcW w:w="9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77ABB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B </w:t>
            </w:r>
          </w:p>
        </w:tc>
      </w:tr>
      <w:tr w:rsidR="00C113B2" w:rsidRPr="00305EB8" w14:paraId="24F977F1" w14:textId="77777777" w:rsidTr="00B8642B">
        <w:trPr>
          <w:trHeight w:val="653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40431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1A8DD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7F0B1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1646,5 – 1656,5 MHz</w:t>
            </w:r>
          </w:p>
        </w:tc>
      </w:tr>
      <w:tr w:rsidR="00C113B2" w:rsidRPr="00305EB8" w14:paraId="21B26B8E" w14:textId="77777777" w:rsidTr="00B8642B">
        <w:trPr>
          <w:trHeight w:val="83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B108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5B275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Zakres częstotliwości odbiorczych (kosmos-Ziemia)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0BFACF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1545 – 1555 MHz</w:t>
            </w:r>
          </w:p>
          <w:p w14:paraId="52A1BBE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C113B2" w:rsidRPr="00305EB8" w14:paraId="7BC818B1" w14:textId="77777777" w:rsidTr="00B8642B">
        <w:trPr>
          <w:trHeight w:val="67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D4E9DF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CEE33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305EB8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305EB8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ADA5D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zgodnie z postanowieniami art. 21 Regulaminu Radiokomunikacyjnego oraz Zaleceniem ITU-R M.1184-3</w:t>
            </w:r>
          </w:p>
        </w:tc>
      </w:tr>
      <w:tr w:rsidR="00C113B2" w:rsidRPr="00305EB8" w14:paraId="2F3B4AC2" w14:textId="77777777" w:rsidTr="00B8642B">
        <w:trPr>
          <w:trHeight w:val="30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848B1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99B0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CFE29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Urządzenia typu MES pracujące pod kontrolą sieci w ramach służby ruchomej satelitarnej spełniają następujące wymagania:</w:t>
            </w:r>
          </w:p>
          <w:p w14:paraId="662F4196" w14:textId="77DA10D1" w:rsidR="00C113B2" w:rsidRPr="00305EB8" w:rsidRDefault="002F7B9E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1) </w:t>
            </w:r>
            <w:r w:rsidR="00C113B2" w:rsidRPr="00305EB8">
              <w:rPr>
                <w:rFonts w:ascii="Times" w:hAnsi="Times" w:cs="Times"/>
                <w:sz w:val="24"/>
                <w:szCs w:val="24"/>
              </w:rPr>
              <w:t xml:space="preserve">są identyfikowane przez systemy satelitarne wykorzystywane przez operatora satelity i zaprojektowane w sposób zapewniający </w:t>
            </w:r>
            <w:r w:rsidR="00C113B2" w:rsidRPr="00305EB8">
              <w:rPr>
                <w:rFonts w:ascii="Times" w:hAnsi="Times" w:cs="Times"/>
                <w:sz w:val="24"/>
                <w:szCs w:val="24"/>
              </w:rPr>
              <w:lastRenderedPageBreak/>
              <w:t>ochronę innych użytkowników widma przed niedopuszczalnymi zakłóceniami;</w:t>
            </w:r>
          </w:p>
          <w:p w14:paraId="3DF3F767" w14:textId="47527309" w:rsidR="00C113B2" w:rsidRPr="00305EB8" w:rsidRDefault="002F7B9E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2) </w:t>
            </w:r>
            <w:r w:rsidR="00C113B2" w:rsidRPr="00305EB8">
              <w:rPr>
                <w:rFonts w:ascii="Times" w:hAnsi="Times" w:cs="Times"/>
                <w:sz w:val="24"/>
                <w:szCs w:val="24"/>
              </w:rPr>
              <w:t xml:space="preserve">działają zgodnie z art. 44 Regulaminu Radiokomunikacyjnego oraz Uchwałą 222 (REV.WRC–12) ITU-R; </w:t>
            </w:r>
          </w:p>
          <w:p w14:paraId="5366F113" w14:textId="108F05AD" w:rsidR="00C113B2" w:rsidRPr="00305EB8" w:rsidRDefault="002F7B9E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3) </w:t>
            </w:r>
            <w:r w:rsidR="00C113B2" w:rsidRPr="00305EB8">
              <w:rPr>
                <w:rFonts w:ascii="Times" w:hAnsi="Times" w:cs="Times"/>
                <w:sz w:val="24"/>
                <w:szCs w:val="24"/>
              </w:rPr>
              <w:t>działają na warunkach określonych w normach PN-ETSI EN 301 444 oraz PN-ETSI EN 301 681.</w:t>
            </w:r>
          </w:p>
        </w:tc>
      </w:tr>
      <w:tr w:rsidR="00C113B2" w:rsidRPr="00305EB8" w14:paraId="4099ACFB" w14:textId="77777777" w:rsidTr="00B8642B">
        <w:trPr>
          <w:trHeight w:val="567"/>
        </w:trPr>
        <w:tc>
          <w:tcPr>
            <w:tcW w:w="9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AFBAB0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lastRenderedPageBreak/>
              <w:t>C</w:t>
            </w:r>
          </w:p>
        </w:tc>
      </w:tr>
      <w:tr w:rsidR="00C113B2" w:rsidRPr="00305EB8" w14:paraId="1F06F895" w14:textId="77777777" w:rsidTr="00B8642B">
        <w:trPr>
          <w:trHeight w:val="653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DF81E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4760E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E1EB2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1670 – 1675 MHz</w:t>
            </w:r>
          </w:p>
        </w:tc>
      </w:tr>
      <w:tr w:rsidR="00C113B2" w:rsidRPr="00305EB8" w14:paraId="2686F85C" w14:textId="77777777" w:rsidTr="00B8642B">
        <w:trPr>
          <w:trHeight w:val="83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B358E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2891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Zakres częstotliwości odbiorczych (kosmos-Ziemia)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1FE89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1518 – 1525 MHz</w:t>
            </w:r>
          </w:p>
          <w:p w14:paraId="2D5EBD0A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C113B2" w:rsidRPr="00305EB8" w14:paraId="4B5A6FAB" w14:textId="77777777" w:rsidTr="00B8642B">
        <w:trPr>
          <w:trHeight w:val="67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F29F1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CDFBA3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305EB8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305EB8">
              <w:rPr>
                <w:rFonts w:ascii="Times" w:hAnsi="Times" w:cs="Times"/>
                <w:sz w:val="24"/>
                <w:szCs w:val="24"/>
              </w:rPr>
              <w:t>. (gęstość widmowa)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3B8498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zgodnie z postanowieniami art. 21 Regulaminu Radiokomunikacyjnego oraz Zaleceniem ITU-R M.1184-3</w:t>
            </w:r>
          </w:p>
        </w:tc>
      </w:tr>
      <w:tr w:rsidR="00C113B2" w:rsidRPr="00305EB8" w14:paraId="6C8B151C" w14:textId="77777777" w:rsidTr="00B8642B">
        <w:trPr>
          <w:trHeight w:val="30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7AD2A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04135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4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287B7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Urządzenia typu MES pracujące pod kontrolą sieci w ramach służby ruchomej satelitarnej spełniają następujące wymagania:</w:t>
            </w:r>
          </w:p>
          <w:p w14:paraId="3D1D3BE4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1) są identyfikowane przez systemy satelitarne wykorzystywane przez operatora satelity i zaprojektowane w sposób zapewniający ochronę innych użytkowników widma przed niedopuszczalnymi zakłóceniami;</w:t>
            </w:r>
          </w:p>
          <w:p w14:paraId="258F6D73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 xml:space="preserve">2) działają zgodnie z uwagami 5.348, 5.379B, 5.379E i 5.380A do Regulaminu Radiokomunikacyjnego; </w:t>
            </w:r>
          </w:p>
          <w:p w14:paraId="0A66A388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3) są zgodne z Uchwałą 744 (</w:t>
            </w:r>
            <w:proofErr w:type="spellStart"/>
            <w:r w:rsidRPr="00305EB8">
              <w:rPr>
                <w:rFonts w:ascii="Times" w:hAnsi="Times" w:cs="Times"/>
                <w:sz w:val="24"/>
                <w:szCs w:val="24"/>
              </w:rPr>
              <w:t>Rev</w:t>
            </w:r>
            <w:proofErr w:type="spellEnd"/>
            <w:r w:rsidRPr="00305EB8">
              <w:rPr>
                <w:rFonts w:ascii="Times" w:hAnsi="Times" w:cs="Times"/>
                <w:sz w:val="24"/>
                <w:szCs w:val="24"/>
              </w:rPr>
              <w:t>. WRC-07) ITU-R.;</w:t>
            </w:r>
          </w:p>
          <w:p w14:paraId="1E9C4836" w14:textId="77777777" w:rsidR="00C113B2" w:rsidRPr="00305EB8" w:rsidRDefault="00C113B2" w:rsidP="002F7B9E">
            <w:pPr>
              <w:pStyle w:val="OZNPARAFYADNOTACJE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hAnsi="Times" w:cs="Times"/>
                <w:sz w:val="24"/>
                <w:szCs w:val="24"/>
              </w:rPr>
              <w:t>4) działają zgodnie z warunkami określonymi w decyzji ECC/DEC/(04)09.</w:t>
            </w:r>
          </w:p>
        </w:tc>
      </w:tr>
    </w:tbl>
    <w:p w14:paraId="3E483809" w14:textId="77777777" w:rsidR="008A40E9" w:rsidRPr="00305EB8" w:rsidRDefault="008A40E9" w:rsidP="008A40E9">
      <w:pPr>
        <w:rPr>
          <w:rFonts w:ascii="Times" w:hAnsi="Times" w:cs="Times"/>
        </w:rPr>
      </w:pPr>
    </w:p>
    <w:p w14:paraId="37FC1E71" w14:textId="77777777" w:rsidR="008A40E9" w:rsidRPr="00305EB8" w:rsidRDefault="008A40E9" w:rsidP="008A40E9">
      <w:pPr>
        <w:rPr>
          <w:rFonts w:ascii="Times" w:hAnsi="Times" w:cs="Times"/>
        </w:rPr>
      </w:pPr>
      <w:r w:rsidRPr="00305EB8">
        <w:rPr>
          <w:rFonts w:ascii="Times" w:hAnsi="Times" w:cs="Times"/>
        </w:rPr>
        <w:br w:type="page"/>
      </w:r>
    </w:p>
    <w:p w14:paraId="5E28B555" w14:textId="11124182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lastRenderedPageBreak/>
        <w:t>Wykaz nr 1</w:t>
      </w:r>
      <w:r w:rsidR="00A41BC7" w:rsidRPr="00305EB8">
        <w:rPr>
          <w:rFonts w:ascii="Times" w:hAnsi="Times" w:cs="Times"/>
        </w:rPr>
        <w:t>4</w:t>
      </w:r>
    </w:p>
    <w:p w14:paraId="5AC16760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Urządzenia typu S-PCS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399"/>
        <w:gridCol w:w="6085"/>
      </w:tblGrid>
      <w:tr w:rsidR="008A40E9" w:rsidRPr="00305EB8" w14:paraId="7EC7C808" w14:textId="77777777" w:rsidTr="008A40E9">
        <w:trPr>
          <w:jc w:val="center"/>
        </w:trPr>
        <w:tc>
          <w:tcPr>
            <w:tcW w:w="0" w:type="auto"/>
            <w:vAlign w:val="center"/>
          </w:tcPr>
          <w:p w14:paraId="48A7C47C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Poz.</w:t>
            </w:r>
          </w:p>
        </w:tc>
        <w:tc>
          <w:tcPr>
            <w:tcW w:w="0" w:type="auto"/>
            <w:vAlign w:val="center"/>
          </w:tcPr>
          <w:p w14:paraId="6729B77D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46712C92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Zakresy częstotliwości, parametry techniczne oraz inne warunki używania urządzeń</w:t>
            </w:r>
          </w:p>
        </w:tc>
      </w:tr>
      <w:tr w:rsidR="008A40E9" w:rsidRPr="00305EB8" w14:paraId="41006EF5" w14:textId="77777777" w:rsidTr="008A40E9">
        <w:trPr>
          <w:trHeight w:val="972"/>
          <w:jc w:val="center"/>
        </w:trPr>
        <w:tc>
          <w:tcPr>
            <w:tcW w:w="0" w:type="auto"/>
            <w:vAlign w:val="center"/>
          </w:tcPr>
          <w:p w14:paraId="5151E9CB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4E82F992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nadawczych (Ziemia-kosmos)</w:t>
            </w:r>
          </w:p>
        </w:tc>
        <w:tc>
          <w:tcPr>
            <w:tcW w:w="0" w:type="auto"/>
            <w:vAlign w:val="center"/>
          </w:tcPr>
          <w:p w14:paraId="11AD344D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148,00 – 150,05 MHz*)</w:t>
            </w:r>
          </w:p>
          <w:p w14:paraId="3CBC34C8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312 – 315 MHz*)</w:t>
            </w:r>
          </w:p>
          <w:p w14:paraId="1B41A916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399,90 – 400,05 MHz*)</w:t>
            </w:r>
          </w:p>
        </w:tc>
      </w:tr>
      <w:tr w:rsidR="008A40E9" w:rsidRPr="00305EB8" w14:paraId="782F6D96" w14:textId="77777777" w:rsidTr="008A40E9">
        <w:trPr>
          <w:trHeight w:val="972"/>
          <w:jc w:val="center"/>
        </w:trPr>
        <w:tc>
          <w:tcPr>
            <w:tcW w:w="0" w:type="auto"/>
            <w:vAlign w:val="center"/>
          </w:tcPr>
          <w:p w14:paraId="48AD8F2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4559EFC9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Zakres częstotliwości odbiorczych (kosmos-Ziemia)</w:t>
            </w:r>
          </w:p>
        </w:tc>
        <w:tc>
          <w:tcPr>
            <w:tcW w:w="0" w:type="auto"/>
            <w:vAlign w:val="center"/>
          </w:tcPr>
          <w:p w14:paraId="2650CE55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137 – 138 MHz*)</w:t>
            </w:r>
          </w:p>
          <w:p w14:paraId="05086454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387 – 390 MHz*)</w:t>
            </w:r>
          </w:p>
          <w:p w14:paraId="2DFDAF00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8E4734">
              <w:rPr>
                <w:rFonts w:ascii="Times" w:hAnsi="Times" w:cs="Times"/>
                <w:sz w:val="24"/>
                <w:szCs w:val="24"/>
              </w:rPr>
              <w:t>400,15 – 401,00 MHz*)</w:t>
            </w:r>
          </w:p>
        </w:tc>
      </w:tr>
      <w:tr w:rsidR="008A40E9" w:rsidRPr="00305EB8" w14:paraId="447F1511" w14:textId="77777777" w:rsidTr="008A40E9">
        <w:trPr>
          <w:trHeight w:val="973"/>
          <w:jc w:val="center"/>
        </w:trPr>
        <w:tc>
          <w:tcPr>
            <w:tcW w:w="0" w:type="auto"/>
            <w:vAlign w:val="center"/>
          </w:tcPr>
          <w:p w14:paraId="4E8C047C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6C94DF96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 xml:space="preserve">Dopuszczalna </w:t>
            </w:r>
            <w:proofErr w:type="spellStart"/>
            <w:r w:rsidRPr="001A1292">
              <w:rPr>
                <w:rFonts w:ascii="Times" w:hAnsi="Times" w:cs="Times"/>
                <w:sz w:val="24"/>
                <w:szCs w:val="24"/>
              </w:rPr>
              <w:t>e.i.r.p</w:t>
            </w:r>
            <w:proofErr w:type="spellEnd"/>
            <w:r w:rsidRPr="001A1292"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65275D4" w14:textId="77777777" w:rsidR="008A40E9" w:rsidRPr="008E4734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Dopuszczalne moce dla urządzeń S-PCS określono w załączniku nr 2 do decyzji ERC/DEC(99)06</w:t>
            </w:r>
          </w:p>
        </w:tc>
      </w:tr>
      <w:tr w:rsidR="008A40E9" w:rsidRPr="00305EB8" w14:paraId="2AC5A43A" w14:textId="77777777" w:rsidTr="008A40E9">
        <w:trPr>
          <w:jc w:val="center"/>
        </w:trPr>
        <w:tc>
          <w:tcPr>
            <w:tcW w:w="0" w:type="auto"/>
            <w:vAlign w:val="center"/>
          </w:tcPr>
          <w:p w14:paraId="5A57F8DA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7BF2AE90" w14:textId="77777777" w:rsidR="008A40E9" w:rsidRPr="001A1292" w:rsidRDefault="008A40E9" w:rsidP="008A40E9">
            <w:pPr>
              <w:rPr>
                <w:rFonts w:ascii="Times" w:hAnsi="Times" w:cs="Times"/>
                <w:sz w:val="24"/>
                <w:szCs w:val="24"/>
              </w:rPr>
            </w:pPr>
            <w:r w:rsidRPr="001A1292">
              <w:rPr>
                <w:rFonts w:ascii="Times" w:hAnsi="Times" w:cs="Times"/>
                <w:sz w:val="24"/>
                <w:szCs w:val="24"/>
              </w:rPr>
              <w:t>Dodatkowe ograniczenia</w:t>
            </w:r>
          </w:p>
        </w:tc>
        <w:tc>
          <w:tcPr>
            <w:tcW w:w="0" w:type="auto"/>
            <w:vAlign w:val="center"/>
          </w:tcPr>
          <w:p w14:paraId="281FD5AE" w14:textId="77777777" w:rsidR="008A40E9" w:rsidRPr="00305EB8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eastAsia="Times" w:hAnsi="Times" w:cs="Times"/>
                <w:sz w:val="24"/>
                <w:szCs w:val="24"/>
                <w:lang w:eastAsia="en-US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Dodatkowe ograniczenia dla urządzeń S-PCS określono w załączniku nr 2 do decyzji ERC/DEC(99)06.</w:t>
            </w:r>
          </w:p>
          <w:p w14:paraId="6855485A" w14:textId="74087AAE" w:rsidR="008A40E9" w:rsidRPr="001A1292" w:rsidRDefault="008A40E9" w:rsidP="00B62BB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" w:hAnsi="Times" w:cs="Times"/>
                <w:sz w:val="24"/>
                <w:szCs w:val="24"/>
              </w:rPr>
            </w:pPr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Ponadto urządzenia typu S-PCS wykorzystywane w </w:t>
            </w:r>
            <w:proofErr w:type="spellStart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>niegeostacjonarnych</w:t>
            </w:r>
            <w:proofErr w:type="spellEnd"/>
            <w:r w:rsidRPr="00305EB8">
              <w:rPr>
                <w:rFonts w:ascii="Times" w:eastAsia="Times" w:hAnsi="Times" w:cs="Times"/>
                <w:sz w:val="24"/>
                <w:szCs w:val="24"/>
                <w:lang w:eastAsia="en-US"/>
              </w:rPr>
              <w:t xml:space="preserve"> systemach satelitarnych, z wyłączeniem transmisji głosowej, pracujące w ramach służby ruchomej satelitarnej mogą być używane, jeżeli spełniają wymagania określone w załączniku nr 3 do decyzji ERC/DEC(99)06.</w:t>
            </w:r>
            <w:r w:rsidR="00276B49" w:rsidRPr="00305EB8">
              <w:rPr>
                <w:rFonts w:ascii="Times" w:hAnsi="Times" w:cs="Times"/>
                <w:lang w:eastAsia="en-US"/>
              </w:rPr>
              <w:t>".</w:t>
            </w:r>
          </w:p>
        </w:tc>
      </w:tr>
    </w:tbl>
    <w:p w14:paraId="7B39FE63" w14:textId="77777777" w:rsidR="008A40E9" w:rsidRPr="001A1292" w:rsidRDefault="008A40E9" w:rsidP="008A40E9">
      <w:pPr>
        <w:rPr>
          <w:rFonts w:ascii="Times" w:hAnsi="Times" w:cs="Times"/>
          <w:sz w:val="20"/>
        </w:rPr>
      </w:pPr>
      <w:r w:rsidRPr="001A1292">
        <w:rPr>
          <w:rFonts w:ascii="Times" w:hAnsi="Times" w:cs="Times"/>
          <w:sz w:val="20"/>
        </w:rPr>
        <w:t>*) Niniejsze zakresy częstotliwości dla poszczególnych urządzeń S-PCS wyszczególnione zostały w załączniku nr 1 do decyzji ERC/DEC(99)06.</w:t>
      </w:r>
    </w:p>
    <w:p w14:paraId="7AE11A71" w14:textId="3C68A392" w:rsidR="008A40E9" w:rsidRPr="00305EB8" w:rsidRDefault="008A40E9" w:rsidP="008A40E9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br w:type="column"/>
      </w:r>
      <w:r w:rsidRPr="00305EB8">
        <w:rPr>
          <w:rFonts w:ascii="Times" w:hAnsi="Times" w:cs="Times"/>
        </w:rPr>
        <w:lastRenderedPageBreak/>
        <w:t>Załącznik nr 6</w:t>
      </w:r>
    </w:p>
    <w:p w14:paraId="69C1B817" w14:textId="1024B886" w:rsidR="00246DE2" w:rsidRPr="00305EB8" w:rsidRDefault="00246DE2" w:rsidP="00246DE2">
      <w:pPr>
        <w:pStyle w:val="OZNZACZNIKAwskazanienrzacznika"/>
        <w:rPr>
          <w:rFonts w:ascii="Times" w:hAnsi="Times" w:cs="Times"/>
        </w:rPr>
      </w:pPr>
      <w:r w:rsidRPr="00305EB8">
        <w:rPr>
          <w:rFonts w:ascii="Times" w:hAnsi="Times" w:cs="Times"/>
        </w:rPr>
        <w:t>„Załącznik nr 14</w:t>
      </w:r>
    </w:p>
    <w:p w14:paraId="1557F0E8" w14:textId="77777777" w:rsidR="00246DE2" w:rsidRPr="00305EB8" w:rsidRDefault="00246DE2" w:rsidP="008A40E9">
      <w:pPr>
        <w:pStyle w:val="OZNZACZNIKAwskazanienrzacznika"/>
        <w:rPr>
          <w:rFonts w:ascii="Times" w:hAnsi="Times" w:cs="Times"/>
        </w:rPr>
      </w:pPr>
    </w:p>
    <w:p w14:paraId="28C05245" w14:textId="77777777" w:rsidR="008A40E9" w:rsidRPr="001A1292" w:rsidRDefault="008A40E9" w:rsidP="001B59AF">
      <w:pPr>
        <w:jc w:val="center"/>
        <w:rPr>
          <w:rStyle w:val="Ppogrubienie"/>
          <w:rFonts w:ascii="Times" w:hAnsi="Times" w:cs="Times"/>
          <w:sz w:val="24"/>
        </w:rPr>
      </w:pPr>
      <w:r w:rsidRPr="001A1292">
        <w:rPr>
          <w:rStyle w:val="Ppogrubienie"/>
          <w:rFonts w:ascii="Times" w:hAnsi="Times" w:cs="Times"/>
          <w:sz w:val="24"/>
        </w:rPr>
        <w:t>WARUNKI UŻYWANIA URZĄDZEŃ STACJI BAZOWYCH WYKORZYSTYWANYCH DO ŚWIADCZENIA USŁUG MCA, UMIEJSCOWIONYCH NA POKŁADACH STATKÓW POWIETRZNYCH</w:t>
      </w:r>
    </w:p>
    <w:p w14:paraId="7520E639" w14:textId="77777777" w:rsidR="001B59AF" w:rsidRPr="001A1292" w:rsidRDefault="001B59AF" w:rsidP="001B59AF">
      <w:pPr>
        <w:jc w:val="center"/>
        <w:rPr>
          <w:rStyle w:val="Ppogrubienie"/>
          <w:rFonts w:ascii="Times" w:hAnsi="Times" w:cs="Times"/>
          <w:sz w:val="24"/>
        </w:rPr>
      </w:pPr>
    </w:p>
    <w:p w14:paraId="0A2D0BA7" w14:textId="677FABDC" w:rsidR="001B59AF" w:rsidRPr="008E4734" w:rsidRDefault="008A40E9" w:rsidP="001B59AF">
      <w:pPr>
        <w:pStyle w:val="NIEARTTEKSTtekstnieartykuowanynppodstprawnarozplubpreambua"/>
        <w:rPr>
          <w:rFonts w:cs="Times"/>
        </w:rPr>
      </w:pPr>
      <w:r w:rsidRPr="001A1292">
        <w:rPr>
          <w:rFonts w:cs="Times"/>
        </w:rPr>
        <w:t>Warunki używania urządzeń systemów GSM, UMTS, LTE i 5G NR na pokładach statków powietrznych, w szczególności zakresy wykorzystywanych przez nie częstotliwości, maksymalna moc promieniowana lub gęstość mocy promieniowanej oraz minimalna wysokość pracującego systemu MCA nad ziemią, są zgodne z warunkami używania urządzeń radiow</w:t>
      </w:r>
      <w:r w:rsidRPr="008E4734">
        <w:rPr>
          <w:rFonts w:cs="Times"/>
        </w:rPr>
        <w:t>ych określonymi w decyzji Komisji (UE) 2022/2324 z dnia 23 listopada 2022 r. zmieniającej decyzję 2008/294/WE w celu uwzględnienia dodatkowych technologii dostępu i środków na potrzeby wykonywania usług łączności ruchomej na pokładach statków powietrznych (usługi MCA) w Unii (Dz. Urz. UE L 307 z 28.11.2022, str. 262).</w:t>
      </w:r>
      <w:r w:rsidR="00246DE2" w:rsidRPr="008E4734">
        <w:rPr>
          <w:rFonts w:cs="Times"/>
        </w:rPr>
        <w:t>".</w:t>
      </w:r>
    </w:p>
    <w:p w14:paraId="1BCFBFA1" w14:textId="4BEA451A" w:rsidR="001B59AF" w:rsidRPr="00305EB8" w:rsidRDefault="001B59AF" w:rsidP="00F70FD4">
      <w:pPr>
        <w:spacing w:before="120" w:line="240" w:lineRule="auto"/>
        <w:rPr>
          <w:rFonts w:ascii="Times" w:hAnsi="Times" w:cs="Times"/>
          <w:bCs/>
        </w:rPr>
      </w:pPr>
    </w:p>
    <w:p w14:paraId="0BF73C5D" w14:textId="77777777" w:rsidR="00261A16" w:rsidRPr="001A1292" w:rsidRDefault="00261A16" w:rsidP="001B59AF">
      <w:pPr>
        <w:pStyle w:val="NIEARTTEKSTtekstnieartykuowanynppodstprawnarozplubpreambua"/>
        <w:rPr>
          <w:rFonts w:cs="Times"/>
        </w:rPr>
      </w:pPr>
    </w:p>
    <w:sectPr w:rsidR="00261A16" w:rsidRPr="001A1292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E7F6" w14:textId="77777777" w:rsidR="006527F7" w:rsidRDefault="006527F7">
      <w:r>
        <w:separator/>
      </w:r>
    </w:p>
  </w:endnote>
  <w:endnote w:type="continuationSeparator" w:id="0">
    <w:p w14:paraId="4BBBA966" w14:textId="77777777" w:rsidR="006527F7" w:rsidRDefault="0065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7456" w14:textId="77777777" w:rsidR="006527F7" w:rsidRDefault="006527F7">
      <w:r>
        <w:separator/>
      </w:r>
    </w:p>
  </w:footnote>
  <w:footnote w:type="continuationSeparator" w:id="0">
    <w:p w14:paraId="78618ADB" w14:textId="77777777" w:rsidR="006527F7" w:rsidRDefault="006527F7">
      <w:r>
        <w:continuationSeparator/>
      </w:r>
    </w:p>
  </w:footnote>
  <w:footnote w:id="1">
    <w:p w14:paraId="13DB77CE" w14:textId="2B30F78C" w:rsidR="008478D0" w:rsidRPr="00077E63" w:rsidRDefault="008478D0" w:rsidP="00720ECB">
      <w:pPr>
        <w:pStyle w:val="ODNONIKtreodnonika"/>
      </w:pPr>
      <w:r w:rsidRPr="00077E63">
        <w:rPr>
          <w:rStyle w:val="Odwoanieprzypisudolnego"/>
          <w:rFonts w:asciiTheme="minorHAnsi" w:hAnsiTheme="minorHAnsi" w:cstheme="minorHAnsi"/>
        </w:rPr>
        <w:footnoteRef/>
      </w:r>
      <w:r w:rsidRPr="00077E63">
        <w:rPr>
          <w:rStyle w:val="IGindeksgrny"/>
          <w:rFonts w:asciiTheme="minorHAnsi" w:hAnsiTheme="minorHAnsi" w:cstheme="minorHAnsi"/>
        </w:rPr>
        <w:t>)</w:t>
      </w:r>
      <w:r w:rsidRPr="00077E63">
        <w:tab/>
        <w:t xml:space="preserve">Minister Cyfryzacji kieruje działem administracji rządowej – informatyzacja, na podstawie § 1 ust. 2 rozporządzenia Prezesa Rady Ministrów z dnia </w:t>
      </w:r>
      <w:r>
        <w:t>26</w:t>
      </w:r>
      <w:r w:rsidRPr="00077E63">
        <w:t xml:space="preserve"> </w:t>
      </w:r>
      <w:r>
        <w:t>kwietnia</w:t>
      </w:r>
      <w:r w:rsidRPr="00077E63">
        <w:t xml:space="preserve"> 202</w:t>
      </w:r>
      <w:r>
        <w:t>3</w:t>
      </w:r>
      <w:r w:rsidRPr="00077E63">
        <w:t xml:space="preserve"> r. w sprawie szczegółowego zakresu działania Ministra Cyfryzacji (Dz. U. poz. </w:t>
      </w:r>
      <w:r>
        <w:t>792</w:t>
      </w:r>
      <w:r w:rsidRPr="00077E63">
        <w:t>).</w:t>
      </w:r>
    </w:p>
  </w:footnote>
  <w:footnote w:id="2">
    <w:p w14:paraId="3C9C6AD1" w14:textId="03469CF0" w:rsidR="008478D0" w:rsidRPr="00B8642B" w:rsidRDefault="008478D0" w:rsidP="0063207C">
      <w:pPr>
        <w:pStyle w:val="ODNONIKtreodnonika"/>
      </w:pPr>
      <w:r>
        <w:rPr>
          <w:rStyle w:val="Odwoanieprzypisudolnego"/>
        </w:rPr>
        <w:footnoteRef/>
      </w:r>
      <w:r w:rsidRPr="0063207C">
        <w:rPr>
          <w:rStyle w:val="IGPKindeksgrnyipogrubieniekursywa"/>
        </w:rPr>
        <w:t>)</w:t>
      </w:r>
      <w:r>
        <w:tab/>
      </w:r>
      <w:r w:rsidRPr="0063207C">
        <w:t xml:space="preserve">Niniejsze rozporządzenie zostało notyfikowane Komisji Europejskiej w dniu ……. pod numerem …….., zgodnie z § 4 rozporządzenia Rady Ministrów z dnia 23 grudnia 2002 r. w sprawie sposobu funkcjonowania krajowego systemu notyfikacji norm i aktów prawnych (Dz. U. poz. 2039 oraz z 2004 r. poz. 597), które wdraża dyrektywę (UE) 2015/1535 Parlamentu Europejskiego i Rady z dnia 9 września 2015 r. ustanawiającą procedurę udzielania informacji w dziedzinie przepisów technicznych oraz zasad dotyczących usług społeczeństwa informacyjnego (Dz. Urz. </w:t>
      </w:r>
      <w:r w:rsidRPr="00B8642B">
        <w:t>UE L 241 z 17.09.2015 r., str. 1).</w:t>
      </w:r>
    </w:p>
  </w:footnote>
  <w:footnote w:id="3">
    <w:p w14:paraId="58E6C62E" w14:textId="32F1DFF3" w:rsidR="008478D0" w:rsidRPr="00C354BD" w:rsidRDefault="008478D0" w:rsidP="00B770F3">
      <w:pPr>
        <w:pStyle w:val="PKTODNONIKApunktodnonika"/>
        <w:rPr>
          <w:lang w:val="en-US"/>
        </w:rPr>
      </w:pPr>
      <w:r w:rsidRPr="00C354BD">
        <w:rPr>
          <w:rStyle w:val="Odwoanieprzypisudolnego"/>
          <w:lang w:val="en-US"/>
        </w:rPr>
        <w:t>5)</w:t>
      </w:r>
      <w:r w:rsidRPr="00C354BD">
        <w:rPr>
          <w:lang w:val="en-US"/>
        </w:rPr>
        <w:t xml:space="preserve"> </w:t>
      </w:r>
      <w:r>
        <w:rPr>
          <w:lang w:val="en-US"/>
        </w:rPr>
        <w:tab/>
      </w:r>
      <w:r w:rsidRPr="00BA7CE2">
        <w:rPr>
          <w:lang w:val="en-US"/>
        </w:rPr>
        <w:t>Wykaz uwzględnia także decyzję ECC/DEC</w:t>
      </w:r>
      <w:r w:rsidRPr="00913F6D">
        <w:rPr>
          <w:lang w:val="en-US"/>
        </w:rPr>
        <w:t>/</w:t>
      </w:r>
      <w:r w:rsidRPr="00BA7CE2">
        <w:rPr>
          <w:lang w:val="en-US"/>
        </w:rPr>
        <w:t>(05)01 “The use of the band 27.5-29.5 GHz by the Fixed Service and uncoordinated Earth stations of the Fixed-Satellite Service (Earth-to-space)” (Approved 18 March 2005, amended 8 March 2019).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F1B7" w14:textId="2222D2FA" w:rsidR="008478D0" w:rsidRPr="00B371CC" w:rsidRDefault="008478D0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6170C">
      <w:rPr>
        <w:noProof/>
      </w:rPr>
      <w:t>36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2138"/>
    <w:multiLevelType w:val="hybridMultilevel"/>
    <w:tmpl w:val="4E2C4A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913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5D4"/>
    <w:rsid w:val="000012DA"/>
    <w:rsid w:val="0000246E"/>
    <w:rsid w:val="00003862"/>
    <w:rsid w:val="00012A35"/>
    <w:rsid w:val="0001590A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4138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6AF"/>
    <w:rsid w:val="00064E4C"/>
    <w:rsid w:val="00066901"/>
    <w:rsid w:val="00071BEE"/>
    <w:rsid w:val="00072A4E"/>
    <w:rsid w:val="000736CD"/>
    <w:rsid w:val="0007533B"/>
    <w:rsid w:val="0007545D"/>
    <w:rsid w:val="000760BF"/>
    <w:rsid w:val="0007613E"/>
    <w:rsid w:val="00076BFC"/>
    <w:rsid w:val="000814A7"/>
    <w:rsid w:val="000823D1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3A22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79C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297F"/>
    <w:rsid w:val="00147A47"/>
    <w:rsid w:val="00147AA1"/>
    <w:rsid w:val="001520CF"/>
    <w:rsid w:val="0015488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292"/>
    <w:rsid w:val="001A183D"/>
    <w:rsid w:val="001A2B65"/>
    <w:rsid w:val="001A3CD3"/>
    <w:rsid w:val="001A55F5"/>
    <w:rsid w:val="001A5BEF"/>
    <w:rsid w:val="001A7F15"/>
    <w:rsid w:val="001B342E"/>
    <w:rsid w:val="001B59AF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02A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6DE2"/>
    <w:rsid w:val="002501A3"/>
    <w:rsid w:val="0025166C"/>
    <w:rsid w:val="002555D4"/>
    <w:rsid w:val="00261A16"/>
    <w:rsid w:val="00263522"/>
    <w:rsid w:val="00264EC6"/>
    <w:rsid w:val="00265FDA"/>
    <w:rsid w:val="00271013"/>
    <w:rsid w:val="00271089"/>
    <w:rsid w:val="00273FE4"/>
    <w:rsid w:val="002765B4"/>
    <w:rsid w:val="00276A94"/>
    <w:rsid w:val="00276B49"/>
    <w:rsid w:val="0029405D"/>
    <w:rsid w:val="00294FA6"/>
    <w:rsid w:val="002950AF"/>
    <w:rsid w:val="00295A6F"/>
    <w:rsid w:val="002A0213"/>
    <w:rsid w:val="002A20C4"/>
    <w:rsid w:val="002A570F"/>
    <w:rsid w:val="002A7292"/>
    <w:rsid w:val="002A7358"/>
    <w:rsid w:val="002A7902"/>
    <w:rsid w:val="002B0F6B"/>
    <w:rsid w:val="002B23B8"/>
    <w:rsid w:val="002B43D4"/>
    <w:rsid w:val="002B4429"/>
    <w:rsid w:val="002B68A6"/>
    <w:rsid w:val="002B7FAF"/>
    <w:rsid w:val="002C1B7B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2F6A2E"/>
    <w:rsid w:val="002F7B9E"/>
    <w:rsid w:val="00301C97"/>
    <w:rsid w:val="0030355B"/>
    <w:rsid w:val="00303897"/>
    <w:rsid w:val="00305EB8"/>
    <w:rsid w:val="0031004C"/>
    <w:rsid w:val="003105F6"/>
    <w:rsid w:val="00311297"/>
    <w:rsid w:val="003113BE"/>
    <w:rsid w:val="003122CA"/>
    <w:rsid w:val="003148FD"/>
    <w:rsid w:val="00321080"/>
    <w:rsid w:val="00321647"/>
    <w:rsid w:val="00322D45"/>
    <w:rsid w:val="0032569A"/>
    <w:rsid w:val="00325A1F"/>
    <w:rsid w:val="003268F9"/>
    <w:rsid w:val="00330BAF"/>
    <w:rsid w:val="00334E3A"/>
    <w:rsid w:val="003361DD"/>
    <w:rsid w:val="00341A6A"/>
    <w:rsid w:val="003435D4"/>
    <w:rsid w:val="00345B9C"/>
    <w:rsid w:val="00352DAE"/>
    <w:rsid w:val="00354EB9"/>
    <w:rsid w:val="003602AE"/>
    <w:rsid w:val="00360929"/>
    <w:rsid w:val="003647D5"/>
    <w:rsid w:val="0036569F"/>
    <w:rsid w:val="003674B0"/>
    <w:rsid w:val="0037727C"/>
    <w:rsid w:val="0037771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4108"/>
    <w:rsid w:val="003D5C42"/>
    <w:rsid w:val="003E0D1A"/>
    <w:rsid w:val="003E2DA3"/>
    <w:rsid w:val="003E6679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57F1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2851"/>
    <w:rsid w:val="004E37E5"/>
    <w:rsid w:val="004E3FDB"/>
    <w:rsid w:val="004F1F4A"/>
    <w:rsid w:val="004F296D"/>
    <w:rsid w:val="004F3F90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352F"/>
    <w:rsid w:val="00526DFC"/>
    <w:rsid w:val="00526F43"/>
    <w:rsid w:val="005271F6"/>
    <w:rsid w:val="00527651"/>
    <w:rsid w:val="00532A90"/>
    <w:rsid w:val="005363AB"/>
    <w:rsid w:val="00544EF4"/>
    <w:rsid w:val="00545E53"/>
    <w:rsid w:val="005479D9"/>
    <w:rsid w:val="00551E34"/>
    <w:rsid w:val="005572BD"/>
    <w:rsid w:val="00557A12"/>
    <w:rsid w:val="00560AC7"/>
    <w:rsid w:val="0056170C"/>
    <w:rsid w:val="00561AFB"/>
    <w:rsid w:val="00561FA8"/>
    <w:rsid w:val="005635ED"/>
    <w:rsid w:val="00565253"/>
    <w:rsid w:val="00570191"/>
    <w:rsid w:val="00570570"/>
    <w:rsid w:val="00572512"/>
    <w:rsid w:val="00573EE6"/>
    <w:rsid w:val="00574F51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5CFC"/>
    <w:rsid w:val="00597024"/>
    <w:rsid w:val="005A0274"/>
    <w:rsid w:val="005A095C"/>
    <w:rsid w:val="005A669D"/>
    <w:rsid w:val="005A75D8"/>
    <w:rsid w:val="005B29F5"/>
    <w:rsid w:val="005B713E"/>
    <w:rsid w:val="005C03B6"/>
    <w:rsid w:val="005C348E"/>
    <w:rsid w:val="005C580D"/>
    <w:rsid w:val="005C68E1"/>
    <w:rsid w:val="005D3763"/>
    <w:rsid w:val="005D55E1"/>
    <w:rsid w:val="005D62DE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6A10"/>
    <w:rsid w:val="00621256"/>
    <w:rsid w:val="00621FCC"/>
    <w:rsid w:val="00622E4B"/>
    <w:rsid w:val="0063207C"/>
    <w:rsid w:val="00632306"/>
    <w:rsid w:val="006333DA"/>
    <w:rsid w:val="00635134"/>
    <w:rsid w:val="006356E2"/>
    <w:rsid w:val="00642A65"/>
    <w:rsid w:val="00645DCE"/>
    <w:rsid w:val="006465AC"/>
    <w:rsid w:val="006465BF"/>
    <w:rsid w:val="006527F7"/>
    <w:rsid w:val="00652F2E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C7299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30E"/>
    <w:rsid w:val="007204FA"/>
    <w:rsid w:val="00720ECB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2EA8"/>
    <w:rsid w:val="00753B51"/>
    <w:rsid w:val="00753F55"/>
    <w:rsid w:val="00756328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2B8A"/>
    <w:rsid w:val="007735B3"/>
    <w:rsid w:val="00776DC2"/>
    <w:rsid w:val="00780122"/>
    <w:rsid w:val="0078214B"/>
    <w:rsid w:val="0078498A"/>
    <w:rsid w:val="00785CC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0FE9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7935"/>
    <w:rsid w:val="00812BE5"/>
    <w:rsid w:val="00817429"/>
    <w:rsid w:val="00820BE8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49D"/>
    <w:rsid w:val="008436B8"/>
    <w:rsid w:val="00845367"/>
    <w:rsid w:val="008460B6"/>
    <w:rsid w:val="008478D0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056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61E"/>
    <w:rsid w:val="00896A10"/>
    <w:rsid w:val="008971B5"/>
    <w:rsid w:val="008A40E9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00B3"/>
    <w:rsid w:val="008E171D"/>
    <w:rsid w:val="008E2785"/>
    <w:rsid w:val="008E4734"/>
    <w:rsid w:val="008E78A3"/>
    <w:rsid w:val="008F0654"/>
    <w:rsid w:val="008F06CB"/>
    <w:rsid w:val="008F2E83"/>
    <w:rsid w:val="008F612A"/>
    <w:rsid w:val="0090293D"/>
    <w:rsid w:val="009034DE"/>
    <w:rsid w:val="009044EC"/>
    <w:rsid w:val="00905396"/>
    <w:rsid w:val="0090605D"/>
    <w:rsid w:val="00906419"/>
    <w:rsid w:val="00912889"/>
    <w:rsid w:val="00913A42"/>
    <w:rsid w:val="00913F6D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03B"/>
    <w:rsid w:val="009A2BEE"/>
    <w:rsid w:val="009A5289"/>
    <w:rsid w:val="009A7A53"/>
    <w:rsid w:val="009B0402"/>
    <w:rsid w:val="009B0B75"/>
    <w:rsid w:val="009B16DF"/>
    <w:rsid w:val="009B3039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2A1"/>
    <w:rsid w:val="009D3316"/>
    <w:rsid w:val="009D55AA"/>
    <w:rsid w:val="009D7C0B"/>
    <w:rsid w:val="009E3E77"/>
    <w:rsid w:val="009E3FAB"/>
    <w:rsid w:val="009E5B3F"/>
    <w:rsid w:val="009E7D90"/>
    <w:rsid w:val="009F0AA2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3F7"/>
    <w:rsid w:val="00A37E70"/>
    <w:rsid w:val="00A41BC7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0484"/>
    <w:rsid w:val="00A736E6"/>
    <w:rsid w:val="00A7436E"/>
    <w:rsid w:val="00A74E96"/>
    <w:rsid w:val="00A75A8E"/>
    <w:rsid w:val="00A824DD"/>
    <w:rsid w:val="00A83676"/>
    <w:rsid w:val="00A83B7B"/>
    <w:rsid w:val="00A84274"/>
    <w:rsid w:val="00A84A62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407"/>
    <w:rsid w:val="00AB67FC"/>
    <w:rsid w:val="00AC00F2"/>
    <w:rsid w:val="00AC31B5"/>
    <w:rsid w:val="00AC4EA1"/>
    <w:rsid w:val="00AC5381"/>
    <w:rsid w:val="00AC5920"/>
    <w:rsid w:val="00AD0E65"/>
    <w:rsid w:val="00AD2BF2"/>
    <w:rsid w:val="00AD2FD1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4A76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6773"/>
    <w:rsid w:val="00B371CC"/>
    <w:rsid w:val="00B41CD9"/>
    <w:rsid w:val="00B427E6"/>
    <w:rsid w:val="00B428A6"/>
    <w:rsid w:val="00B43E1F"/>
    <w:rsid w:val="00B45FBC"/>
    <w:rsid w:val="00B51A7D"/>
    <w:rsid w:val="00B535C2"/>
    <w:rsid w:val="00B54725"/>
    <w:rsid w:val="00B55544"/>
    <w:rsid w:val="00B62BBE"/>
    <w:rsid w:val="00B642FC"/>
    <w:rsid w:val="00B64D26"/>
    <w:rsid w:val="00B64FBB"/>
    <w:rsid w:val="00B70E22"/>
    <w:rsid w:val="00B770F3"/>
    <w:rsid w:val="00B774CB"/>
    <w:rsid w:val="00B80402"/>
    <w:rsid w:val="00B80B9A"/>
    <w:rsid w:val="00B830B7"/>
    <w:rsid w:val="00B848EA"/>
    <w:rsid w:val="00B84B2B"/>
    <w:rsid w:val="00B864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6F64"/>
    <w:rsid w:val="00BB7B38"/>
    <w:rsid w:val="00BB7C3A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75B2"/>
    <w:rsid w:val="00BF332A"/>
    <w:rsid w:val="00BF3DDE"/>
    <w:rsid w:val="00BF6589"/>
    <w:rsid w:val="00BF6F7F"/>
    <w:rsid w:val="00C00647"/>
    <w:rsid w:val="00C02764"/>
    <w:rsid w:val="00C04CEF"/>
    <w:rsid w:val="00C0662F"/>
    <w:rsid w:val="00C113B2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28E7"/>
    <w:rsid w:val="00C33B93"/>
    <w:rsid w:val="00C37194"/>
    <w:rsid w:val="00C40637"/>
    <w:rsid w:val="00C40F6C"/>
    <w:rsid w:val="00C43BAA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418"/>
    <w:rsid w:val="00C8259F"/>
    <w:rsid w:val="00C82746"/>
    <w:rsid w:val="00C8312F"/>
    <w:rsid w:val="00C84C47"/>
    <w:rsid w:val="00C854D1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2B01"/>
    <w:rsid w:val="00CD46FA"/>
    <w:rsid w:val="00CD5973"/>
    <w:rsid w:val="00CE29F7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A3C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0A0A"/>
    <w:rsid w:val="00DC1C6B"/>
    <w:rsid w:val="00DC2C2E"/>
    <w:rsid w:val="00DC4AF0"/>
    <w:rsid w:val="00DC7886"/>
    <w:rsid w:val="00DD0CF2"/>
    <w:rsid w:val="00DD245F"/>
    <w:rsid w:val="00DD47C3"/>
    <w:rsid w:val="00DE1554"/>
    <w:rsid w:val="00DE2901"/>
    <w:rsid w:val="00DE590F"/>
    <w:rsid w:val="00DE7DC1"/>
    <w:rsid w:val="00DF048E"/>
    <w:rsid w:val="00DF3F7E"/>
    <w:rsid w:val="00DF7648"/>
    <w:rsid w:val="00E00E29"/>
    <w:rsid w:val="00E02BAB"/>
    <w:rsid w:val="00E03B1D"/>
    <w:rsid w:val="00E04CEB"/>
    <w:rsid w:val="00E060BC"/>
    <w:rsid w:val="00E11420"/>
    <w:rsid w:val="00E132FB"/>
    <w:rsid w:val="00E1519A"/>
    <w:rsid w:val="00E170B7"/>
    <w:rsid w:val="00E177DD"/>
    <w:rsid w:val="00E202B2"/>
    <w:rsid w:val="00E20900"/>
    <w:rsid w:val="00E20C7F"/>
    <w:rsid w:val="00E2396E"/>
    <w:rsid w:val="00E24728"/>
    <w:rsid w:val="00E276AC"/>
    <w:rsid w:val="00E34A35"/>
    <w:rsid w:val="00E37C2F"/>
    <w:rsid w:val="00E41C28"/>
    <w:rsid w:val="00E4409F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ED6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2C92"/>
    <w:rsid w:val="00E83A64"/>
    <w:rsid w:val="00E83ADD"/>
    <w:rsid w:val="00E84F38"/>
    <w:rsid w:val="00E85623"/>
    <w:rsid w:val="00E87441"/>
    <w:rsid w:val="00E91FAE"/>
    <w:rsid w:val="00E96E3F"/>
    <w:rsid w:val="00EA006B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66A"/>
    <w:rsid w:val="00ED6961"/>
    <w:rsid w:val="00EE1444"/>
    <w:rsid w:val="00EF0B96"/>
    <w:rsid w:val="00EF3486"/>
    <w:rsid w:val="00EF47AF"/>
    <w:rsid w:val="00EF53B6"/>
    <w:rsid w:val="00F00B73"/>
    <w:rsid w:val="00F0646B"/>
    <w:rsid w:val="00F115CA"/>
    <w:rsid w:val="00F14817"/>
    <w:rsid w:val="00F14EBA"/>
    <w:rsid w:val="00F1510F"/>
    <w:rsid w:val="00F1533A"/>
    <w:rsid w:val="00F15E5A"/>
    <w:rsid w:val="00F17F0A"/>
    <w:rsid w:val="00F217F7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417"/>
    <w:rsid w:val="00F56ACA"/>
    <w:rsid w:val="00F600FE"/>
    <w:rsid w:val="00F62E4D"/>
    <w:rsid w:val="00F66B34"/>
    <w:rsid w:val="00F675B9"/>
    <w:rsid w:val="00F70FD4"/>
    <w:rsid w:val="00F711C9"/>
    <w:rsid w:val="00F74C59"/>
    <w:rsid w:val="00F75C3A"/>
    <w:rsid w:val="00F75CF7"/>
    <w:rsid w:val="00F77BF3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0B0F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9EF"/>
    <w:rsid w:val="00FE0A9E"/>
    <w:rsid w:val="00FE0B3B"/>
    <w:rsid w:val="00FE1BE2"/>
    <w:rsid w:val="00FE730A"/>
    <w:rsid w:val="00FF1DD7"/>
    <w:rsid w:val="00FF39E9"/>
    <w:rsid w:val="00FF4453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816EA"/>
  <w15:docId w15:val="{45494174-16CD-40CE-A479-C7645EC2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D4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303897"/>
    <w:pPr>
      <w:ind w:left="720"/>
      <w:contextualSpacing/>
    </w:pPr>
  </w:style>
  <w:style w:type="paragraph" w:styleId="Poprawka">
    <w:name w:val="Revision"/>
    <w:hidden/>
    <w:uiPriority w:val="99"/>
    <w:semiHidden/>
    <w:rsid w:val="00FE09EF"/>
    <w:pPr>
      <w:spacing w:line="240" w:lineRule="auto"/>
    </w:pPr>
    <w:rPr>
      <w:rFonts w:ascii="Helvetica" w:eastAsiaTheme="minorEastAsia" w:hAnsi="Helvetica" w:cs="Helvetica"/>
      <w:color w:val="000000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904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.witkow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1A4269-043F-4AC0-A28E-22EAFE8A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40</TotalTime>
  <Pages>36</Pages>
  <Words>6264</Words>
  <Characters>37584</Characters>
  <Application>Microsoft Office Word</Application>
  <DocSecurity>0</DocSecurity>
  <Lines>313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Wykrota Piotr</dc:creator>
  <cp:lastModifiedBy>Markowska Anna</cp:lastModifiedBy>
  <cp:revision>6</cp:revision>
  <cp:lastPrinted>2012-04-23T06:39:00Z</cp:lastPrinted>
  <dcterms:created xsi:type="dcterms:W3CDTF">2023-06-16T10:49:00Z</dcterms:created>
  <dcterms:modified xsi:type="dcterms:W3CDTF">2023-06-16T14:28:00Z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